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2.xml" ContentType="application/vnd.openxmlformats-officedocument.themeOverride+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rPr>
          <w:rFonts w:eastAsiaTheme="minorHAnsi"/>
          <w:color w:val="5B9BD5" w:themeColor="accent1"/>
          <w:lang w:eastAsia="en-US"/>
        </w:rPr>
        <w:id w:val="23377201"/>
        <w:docPartObj>
          <w:docPartGallery w:val="Cover Pages"/>
          <w:docPartUnique/>
        </w:docPartObj>
      </w:sdtPr>
      <w:sdtEndPr>
        <w:rPr>
          <w:rFonts w:ascii="Calibri" w:eastAsia="Calibri" w:hAnsi="Calibri" w:cs="Times New Roman"/>
          <w:noProof/>
          <w:color w:val="auto"/>
        </w:rPr>
      </w:sdtEndPr>
      <w:sdtContent>
        <w:p w14:paraId="0B55C7DA" w14:textId="54AA27E8" w:rsidR="006F5F60" w:rsidRDefault="008E31BC">
          <w:pPr>
            <w:pStyle w:val="Nessunaspaziatura"/>
            <w:spacing w:before="1540" w:after="240"/>
            <w:jc w:val="center"/>
            <w:rPr>
              <w:color w:val="5B9BD5" w:themeColor="accent1"/>
            </w:rPr>
          </w:pPr>
          <w:r>
            <w:rPr>
              <w:rFonts w:eastAsiaTheme="minorHAnsi"/>
              <w:noProof/>
              <w:color w:val="5B9BD5" w:themeColor="accent1"/>
            </w:rPr>
            <w:drawing>
              <wp:anchor distT="0" distB="0" distL="114300" distR="114300" simplePos="0" relativeHeight="251703296" behindDoc="1" locked="0" layoutInCell="1" allowOverlap="1" wp14:anchorId="562633A3" wp14:editId="20D2D3BA">
                <wp:simplePos x="0" y="0"/>
                <wp:positionH relativeFrom="margin">
                  <wp:align>center</wp:align>
                </wp:positionH>
                <wp:positionV relativeFrom="paragraph">
                  <wp:posOffset>509905</wp:posOffset>
                </wp:positionV>
                <wp:extent cx="3302635" cy="1085850"/>
                <wp:effectExtent l="0" t="0" r="0" b="0"/>
                <wp:wrapTight wrapText="bothSides">
                  <wp:wrapPolygon edited="0">
                    <wp:start x="0" y="0"/>
                    <wp:lineTo x="0" y="21221"/>
                    <wp:lineTo x="21430" y="21221"/>
                    <wp:lineTo x="21430" y="0"/>
                    <wp:lineTo x="0" y="0"/>
                  </wp:wrapPolygon>
                </wp:wrapTight>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02635" cy="10858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6AD0FC" w14:textId="437E059D" w:rsidR="006F5F60" w:rsidRDefault="006F5F60">
          <w:pPr>
            <w:pStyle w:val="Nessunaspaziatura"/>
            <w:spacing w:before="1540" w:after="240"/>
            <w:jc w:val="center"/>
            <w:rPr>
              <w:color w:val="5B9BD5" w:themeColor="accent1"/>
            </w:rPr>
          </w:pPr>
        </w:p>
        <w:p w14:paraId="5AD69DDE" w14:textId="6EED33B1" w:rsidR="006F5F60" w:rsidRDefault="006F5F60">
          <w:pPr>
            <w:pStyle w:val="Nessunaspaziatura"/>
            <w:spacing w:before="1540" w:after="240"/>
            <w:jc w:val="center"/>
            <w:rPr>
              <w:color w:val="5B9BD5" w:themeColor="accent1"/>
            </w:rPr>
          </w:pPr>
        </w:p>
        <w:p w14:paraId="0BF6CD5D" w14:textId="77777777" w:rsidR="00601A83" w:rsidRDefault="00601A83">
          <w:pPr>
            <w:pStyle w:val="Nessunaspaziatura"/>
            <w:spacing w:before="1540" w:after="240"/>
            <w:jc w:val="center"/>
            <w:rPr>
              <w:color w:val="5B9BD5" w:themeColor="accent1"/>
            </w:rPr>
          </w:pPr>
        </w:p>
        <w:sdt>
          <w:sdtPr>
            <w:rPr>
              <w:rFonts w:eastAsiaTheme="minorHAnsi"/>
              <w:b/>
              <w:sz w:val="36"/>
              <w:szCs w:val="28"/>
              <w:lang w:eastAsia="en-US"/>
            </w:rPr>
            <w:alias w:val="Titolo"/>
            <w:tag w:val=""/>
            <w:id w:val="1735040861"/>
            <w:placeholder>
              <w:docPart w:val="F6F6B9C2158B40D4A70375F86CFCFB66"/>
            </w:placeholder>
            <w:dataBinding w:prefixMappings="xmlns:ns0='http://purl.org/dc/elements/1.1/' xmlns:ns1='http://schemas.openxmlformats.org/package/2006/metadata/core-properties' " w:xpath="/ns1:coreProperties[1]/ns0:title[1]" w:storeItemID="{6C3C8BC8-F283-45AE-878A-BAB7291924A1}"/>
            <w:text/>
          </w:sdtPr>
          <w:sdtEndPr/>
          <w:sdtContent>
            <w:p w14:paraId="74E0BEF3" w14:textId="1146751C" w:rsidR="006F5F60" w:rsidRPr="006F5F60" w:rsidRDefault="00F8380B" w:rsidP="006F5F60">
              <w:pPr>
                <w:pStyle w:val="Nessunaspaziatura"/>
                <w:pBdr>
                  <w:top w:val="single" w:sz="6" w:space="6" w:color="5B9BD5" w:themeColor="accent1"/>
                  <w:bottom w:val="single" w:sz="6" w:space="6" w:color="5B9BD5" w:themeColor="accent1"/>
                </w:pBdr>
                <w:spacing w:after="240"/>
                <w:jc w:val="center"/>
                <w:rPr>
                  <w:rFonts w:asciiTheme="majorHAnsi" w:eastAsiaTheme="majorEastAsia" w:hAnsiTheme="majorHAnsi" w:cstheme="majorBidi"/>
                  <w:caps/>
                  <w:color w:val="5B9BD5" w:themeColor="accent1"/>
                  <w:sz w:val="144"/>
                  <w:szCs w:val="80"/>
                </w:rPr>
              </w:pPr>
              <w:r>
                <w:rPr>
                  <w:rFonts w:eastAsiaTheme="minorHAnsi"/>
                  <w:b/>
                  <w:sz w:val="36"/>
                  <w:szCs w:val="28"/>
                  <w:lang w:eastAsia="en-US"/>
                </w:rPr>
                <w:t>Relazione Annuale per l’anno 2021</w:t>
              </w:r>
            </w:p>
          </w:sdtContent>
        </w:sdt>
        <w:sdt>
          <w:sdtPr>
            <w:rPr>
              <w:b/>
              <w:sz w:val="28"/>
              <w:szCs w:val="28"/>
            </w:rPr>
            <w:alias w:val="Sottotitolo"/>
            <w:tag w:val=""/>
            <w:id w:val="328029620"/>
            <w:placeholder>
              <w:docPart w:val="AE58F58BF9CC43EE9CACD99AF1B54577"/>
            </w:placeholder>
            <w:dataBinding w:prefixMappings="xmlns:ns0='http://purl.org/dc/elements/1.1/' xmlns:ns1='http://schemas.openxmlformats.org/package/2006/metadata/core-properties' " w:xpath="/ns1:coreProperties[1]/ns0:subject[1]" w:storeItemID="{6C3C8BC8-F283-45AE-878A-BAB7291924A1}"/>
            <w:text/>
          </w:sdtPr>
          <w:sdtEndPr/>
          <w:sdtContent>
            <w:p w14:paraId="6D0A586D" w14:textId="42D561C3" w:rsidR="006F5F60" w:rsidRPr="00601A83" w:rsidRDefault="00601A83">
              <w:pPr>
                <w:pStyle w:val="Nessunaspaziatura"/>
                <w:jc w:val="center"/>
                <w:rPr>
                  <w:color w:val="5B9BD5" w:themeColor="accent1"/>
                  <w:szCs w:val="28"/>
                </w:rPr>
              </w:pPr>
              <w:r w:rsidRPr="00601A83">
                <w:rPr>
                  <w:b/>
                  <w:sz w:val="28"/>
                  <w:szCs w:val="28"/>
                </w:rPr>
                <w:t>ai sensi degli art. 8, comma, 4 e 16, comma 2, della legge n. 84/94 e ss. mm.e ii..</w:t>
              </w:r>
            </w:p>
          </w:sdtContent>
        </w:sdt>
        <w:p w14:paraId="40EF3A05" w14:textId="2DAAD48A" w:rsidR="006F5F60" w:rsidRDefault="006F5F60">
          <w:pPr>
            <w:pStyle w:val="Nessunaspaziatura"/>
            <w:spacing w:before="480"/>
            <w:jc w:val="center"/>
            <w:rPr>
              <w:color w:val="5B9BD5" w:themeColor="accent1"/>
            </w:rPr>
          </w:pPr>
        </w:p>
        <w:p w14:paraId="5A182F5D" w14:textId="1F0B0C02" w:rsidR="006F5F60" w:rsidRDefault="006F5F60">
          <w:pPr>
            <w:rPr>
              <w:rFonts w:ascii="Calibri" w:eastAsia="Calibri" w:hAnsi="Calibri" w:cs="Times New Roman"/>
              <w:noProof/>
              <w:lang w:eastAsia="it-IT"/>
            </w:rPr>
          </w:pPr>
          <w:r>
            <w:rPr>
              <w:rFonts w:ascii="Calibri" w:eastAsia="Calibri" w:hAnsi="Calibri" w:cs="Times New Roman"/>
              <w:noProof/>
              <w:lang w:eastAsia="it-IT"/>
            </w:rPr>
            <w:br w:type="page"/>
          </w:r>
        </w:p>
      </w:sdtContent>
    </w:sdt>
    <w:sdt>
      <w:sdtPr>
        <w:rPr>
          <w:rFonts w:asciiTheme="minorHAnsi" w:eastAsiaTheme="minorHAnsi" w:hAnsiTheme="minorHAnsi" w:cstheme="minorBidi"/>
          <w:color w:val="auto"/>
          <w:sz w:val="22"/>
          <w:szCs w:val="22"/>
          <w:lang w:eastAsia="en-US"/>
        </w:rPr>
        <w:id w:val="176542140"/>
        <w:docPartObj>
          <w:docPartGallery w:val="Table of Contents"/>
          <w:docPartUnique/>
        </w:docPartObj>
      </w:sdtPr>
      <w:sdtEndPr>
        <w:rPr>
          <w:b/>
          <w:bCs/>
        </w:rPr>
      </w:sdtEndPr>
      <w:sdtContent>
        <w:p w14:paraId="55F8667E" w14:textId="35793067" w:rsidR="00E17F42" w:rsidRDefault="00E17F42" w:rsidP="0035359D">
          <w:pPr>
            <w:pStyle w:val="Titolosommario"/>
            <w:spacing w:line="360" w:lineRule="auto"/>
          </w:pPr>
          <w:r>
            <w:t>Sommario</w:t>
          </w:r>
        </w:p>
        <w:p w14:paraId="2AD10952" w14:textId="77777777" w:rsidR="00CE221C" w:rsidRDefault="00E17F42">
          <w:pPr>
            <w:pStyle w:val="Sommario1"/>
            <w:rPr>
              <w:rFonts w:cstheme="minorBidi"/>
              <w:noProof/>
            </w:rPr>
          </w:pPr>
          <w:r>
            <w:rPr>
              <w:b/>
              <w:bCs/>
            </w:rPr>
            <w:fldChar w:fldCharType="begin"/>
          </w:r>
          <w:r>
            <w:rPr>
              <w:b/>
              <w:bCs/>
            </w:rPr>
            <w:instrText xml:space="preserve"> TOC \o "1-3" \h \z \u </w:instrText>
          </w:r>
          <w:r>
            <w:rPr>
              <w:b/>
              <w:bCs/>
            </w:rPr>
            <w:fldChar w:fldCharType="separate"/>
          </w:r>
          <w:hyperlink w:anchor="_Toc103881168" w:history="1">
            <w:r w:rsidR="00CE221C" w:rsidRPr="00F05A4D">
              <w:rPr>
                <w:rStyle w:val="Collegamentoipertestuale"/>
                <w:b/>
                <w:noProof/>
              </w:rPr>
              <w:t>1.</w:t>
            </w:r>
            <w:r w:rsidR="00CE221C">
              <w:rPr>
                <w:rFonts w:cstheme="minorBidi"/>
                <w:noProof/>
              </w:rPr>
              <w:tab/>
            </w:r>
            <w:r w:rsidR="00CE221C" w:rsidRPr="00F05A4D">
              <w:rPr>
                <w:rStyle w:val="Collegamentoipertestuale"/>
                <w:b/>
                <w:noProof/>
              </w:rPr>
              <w:t>Aspetti organizzativi</w:t>
            </w:r>
            <w:r w:rsidR="00CE221C">
              <w:rPr>
                <w:noProof/>
                <w:webHidden/>
              </w:rPr>
              <w:tab/>
            </w:r>
            <w:r w:rsidR="00CE221C">
              <w:rPr>
                <w:noProof/>
                <w:webHidden/>
              </w:rPr>
              <w:fldChar w:fldCharType="begin"/>
            </w:r>
            <w:r w:rsidR="00CE221C">
              <w:rPr>
                <w:noProof/>
                <w:webHidden/>
              </w:rPr>
              <w:instrText xml:space="preserve"> PAGEREF _Toc103881168 \h </w:instrText>
            </w:r>
            <w:r w:rsidR="00CE221C">
              <w:rPr>
                <w:noProof/>
                <w:webHidden/>
              </w:rPr>
            </w:r>
            <w:r w:rsidR="00CE221C">
              <w:rPr>
                <w:noProof/>
                <w:webHidden/>
              </w:rPr>
              <w:fldChar w:fldCharType="separate"/>
            </w:r>
            <w:r w:rsidR="00CE221C">
              <w:rPr>
                <w:noProof/>
                <w:webHidden/>
              </w:rPr>
              <w:t>1</w:t>
            </w:r>
            <w:r w:rsidR="00CE221C">
              <w:rPr>
                <w:noProof/>
                <w:webHidden/>
              </w:rPr>
              <w:fldChar w:fldCharType="end"/>
            </w:r>
          </w:hyperlink>
        </w:p>
        <w:p w14:paraId="305F50F4" w14:textId="77777777" w:rsidR="00CE221C" w:rsidRDefault="00940538">
          <w:pPr>
            <w:pStyle w:val="Sommario2"/>
            <w:rPr>
              <w:rFonts w:cstheme="minorBidi"/>
              <w:noProof/>
            </w:rPr>
          </w:pPr>
          <w:hyperlink w:anchor="_Toc103881169" w:history="1">
            <w:r w:rsidR="00CE221C" w:rsidRPr="00F05A4D">
              <w:rPr>
                <w:rStyle w:val="Collegamentoipertestuale"/>
                <w:noProof/>
              </w:rPr>
              <w:t>1.1</w:t>
            </w:r>
            <w:r w:rsidR="00CE221C">
              <w:rPr>
                <w:rFonts w:cstheme="minorBidi"/>
                <w:noProof/>
              </w:rPr>
              <w:tab/>
            </w:r>
            <w:r w:rsidR="00CE221C" w:rsidRPr="00F05A4D">
              <w:rPr>
                <w:rStyle w:val="Collegamentoipertestuale"/>
                <w:noProof/>
              </w:rPr>
              <w:t>Notizie di carattere generale con particolare riferimento alla riorganizzazione della struttura organizzativa in ottemperanza delle disposizioni sul lavoro in smart-working e gli eventuali costi sostenuti.</w:t>
            </w:r>
            <w:r w:rsidR="00CE221C">
              <w:rPr>
                <w:noProof/>
                <w:webHidden/>
              </w:rPr>
              <w:tab/>
            </w:r>
            <w:r w:rsidR="00CE221C">
              <w:rPr>
                <w:noProof/>
                <w:webHidden/>
              </w:rPr>
              <w:fldChar w:fldCharType="begin"/>
            </w:r>
            <w:r w:rsidR="00CE221C">
              <w:rPr>
                <w:noProof/>
                <w:webHidden/>
              </w:rPr>
              <w:instrText xml:space="preserve"> PAGEREF _Toc103881169 \h </w:instrText>
            </w:r>
            <w:r w:rsidR="00CE221C">
              <w:rPr>
                <w:noProof/>
                <w:webHidden/>
              </w:rPr>
            </w:r>
            <w:r w:rsidR="00CE221C">
              <w:rPr>
                <w:noProof/>
                <w:webHidden/>
              </w:rPr>
              <w:fldChar w:fldCharType="separate"/>
            </w:r>
            <w:r w:rsidR="00CE221C">
              <w:rPr>
                <w:noProof/>
                <w:webHidden/>
              </w:rPr>
              <w:t>1</w:t>
            </w:r>
            <w:r w:rsidR="00CE221C">
              <w:rPr>
                <w:noProof/>
                <w:webHidden/>
              </w:rPr>
              <w:fldChar w:fldCharType="end"/>
            </w:r>
          </w:hyperlink>
        </w:p>
        <w:p w14:paraId="53B16307" w14:textId="77777777" w:rsidR="00CE221C" w:rsidRDefault="00940538">
          <w:pPr>
            <w:pStyle w:val="Sommario2"/>
            <w:rPr>
              <w:rFonts w:cstheme="minorBidi"/>
              <w:noProof/>
            </w:rPr>
          </w:pPr>
          <w:hyperlink w:anchor="_Toc103881170" w:history="1">
            <w:r w:rsidR="00CE221C" w:rsidRPr="00F05A4D">
              <w:rPr>
                <w:rStyle w:val="Collegamentoipertestuale"/>
                <w:noProof/>
              </w:rPr>
              <w:t>1.2</w:t>
            </w:r>
            <w:r w:rsidR="00CE221C">
              <w:rPr>
                <w:rFonts w:cstheme="minorBidi"/>
                <w:noProof/>
              </w:rPr>
              <w:tab/>
            </w:r>
            <w:r w:rsidR="00CE221C" w:rsidRPr="00F05A4D">
              <w:rPr>
                <w:rStyle w:val="Collegamentoipertestuale"/>
                <w:noProof/>
              </w:rPr>
              <w:t>Compilazione della tabella allegata relativa al personale.</w:t>
            </w:r>
            <w:r w:rsidR="00CE221C">
              <w:rPr>
                <w:noProof/>
                <w:webHidden/>
              </w:rPr>
              <w:tab/>
            </w:r>
            <w:r w:rsidR="00CE221C">
              <w:rPr>
                <w:noProof/>
                <w:webHidden/>
              </w:rPr>
              <w:fldChar w:fldCharType="begin"/>
            </w:r>
            <w:r w:rsidR="00CE221C">
              <w:rPr>
                <w:noProof/>
                <w:webHidden/>
              </w:rPr>
              <w:instrText xml:space="preserve"> PAGEREF _Toc103881170 \h </w:instrText>
            </w:r>
            <w:r w:rsidR="00CE221C">
              <w:rPr>
                <w:noProof/>
                <w:webHidden/>
              </w:rPr>
            </w:r>
            <w:r w:rsidR="00CE221C">
              <w:rPr>
                <w:noProof/>
                <w:webHidden/>
              </w:rPr>
              <w:fldChar w:fldCharType="separate"/>
            </w:r>
            <w:r w:rsidR="00CE221C">
              <w:rPr>
                <w:noProof/>
                <w:webHidden/>
              </w:rPr>
              <w:t>8</w:t>
            </w:r>
            <w:r w:rsidR="00CE221C">
              <w:rPr>
                <w:noProof/>
                <w:webHidden/>
              </w:rPr>
              <w:fldChar w:fldCharType="end"/>
            </w:r>
          </w:hyperlink>
        </w:p>
        <w:p w14:paraId="5730DAD5" w14:textId="77777777" w:rsidR="00CE221C" w:rsidRDefault="00940538">
          <w:pPr>
            <w:pStyle w:val="Sommario2"/>
            <w:rPr>
              <w:rFonts w:cstheme="minorBidi"/>
              <w:noProof/>
            </w:rPr>
          </w:pPr>
          <w:hyperlink w:anchor="_Toc103881171" w:history="1">
            <w:r w:rsidR="00CE221C" w:rsidRPr="00F05A4D">
              <w:rPr>
                <w:rStyle w:val="Collegamentoipertestuale"/>
                <w:noProof/>
              </w:rPr>
              <w:t>1.3</w:t>
            </w:r>
            <w:r w:rsidR="00CE221C">
              <w:rPr>
                <w:rFonts w:cstheme="minorBidi"/>
                <w:noProof/>
              </w:rPr>
              <w:tab/>
            </w:r>
            <w:r w:rsidR="00CE221C" w:rsidRPr="00F05A4D">
              <w:rPr>
                <w:rStyle w:val="Collegamentoipertestuale"/>
                <w:noProof/>
              </w:rPr>
              <w:t>Notizie su procedure concorsuali per assunzione di personale concluse o in corso di svolgimento</w:t>
            </w:r>
            <w:r w:rsidR="00CE221C">
              <w:rPr>
                <w:noProof/>
                <w:webHidden/>
              </w:rPr>
              <w:tab/>
            </w:r>
            <w:r w:rsidR="00CE221C">
              <w:rPr>
                <w:noProof/>
                <w:webHidden/>
              </w:rPr>
              <w:fldChar w:fldCharType="begin"/>
            </w:r>
            <w:r w:rsidR="00CE221C">
              <w:rPr>
                <w:noProof/>
                <w:webHidden/>
              </w:rPr>
              <w:instrText xml:space="preserve"> PAGEREF _Toc103881171 \h </w:instrText>
            </w:r>
            <w:r w:rsidR="00CE221C">
              <w:rPr>
                <w:noProof/>
                <w:webHidden/>
              </w:rPr>
            </w:r>
            <w:r w:rsidR="00CE221C">
              <w:rPr>
                <w:noProof/>
                <w:webHidden/>
              </w:rPr>
              <w:fldChar w:fldCharType="separate"/>
            </w:r>
            <w:r w:rsidR="00CE221C">
              <w:rPr>
                <w:noProof/>
                <w:webHidden/>
              </w:rPr>
              <w:t>8</w:t>
            </w:r>
            <w:r w:rsidR="00CE221C">
              <w:rPr>
                <w:noProof/>
                <w:webHidden/>
              </w:rPr>
              <w:fldChar w:fldCharType="end"/>
            </w:r>
          </w:hyperlink>
        </w:p>
        <w:p w14:paraId="08480EAD" w14:textId="77777777" w:rsidR="00CE221C" w:rsidRDefault="00940538">
          <w:pPr>
            <w:pStyle w:val="Sommario1"/>
            <w:rPr>
              <w:rFonts w:cstheme="minorBidi"/>
              <w:noProof/>
            </w:rPr>
          </w:pPr>
          <w:hyperlink w:anchor="_Toc103881172" w:history="1">
            <w:r w:rsidR="00CE221C" w:rsidRPr="00F05A4D">
              <w:rPr>
                <w:rStyle w:val="Collegamentoipertestuale"/>
                <w:b/>
                <w:bCs/>
                <w:noProof/>
              </w:rPr>
              <w:t>2.</w:t>
            </w:r>
            <w:r w:rsidR="00CE221C">
              <w:rPr>
                <w:rFonts w:cstheme="minorBidi"/>
                <w:noProof/>
              </w:rPr>
              <w:tab/>
            </w:r>
            <w:r w:rsidR="00CE221C" w:rsidRPr="00F05A4D">
              <w:rPr>
                <w:rStyle w:val="Collegamentoipertestuale"/>
                <w:b/>
                <w:bCs/>
                <w:noProof/>
              </w:rPr>
              <w:t>Attività operativa, pianificazione e sviluppo del porto</w:t>
            </w:r>
            <w:r w:rsidR="00CE221C">
              <w:rPr>
                <w:noProof/>
                <w:webHidden/>
              </w:rPr>
              <w:tab/>
            </w:r>
            <w:r w:rsidR="00CE221C">
              <w:rPr>
                <w:noProof/>
                <w:webHidden/>
              </w:rPr>
              <w:fldChar w:fldCharType="begin"/>
            </w:r>
            <w:r w:rsidR="00CE221C">
              <w:rPr>
                <w:noProof/>
                <w:webHidden/>
              </w:rPr>
              <w:instrText xml:space="preserve"> PAGEREF _Toc103881172 \h </w:instrText>
            </w:r>
            <w:r w:rsidR="00CE221C">
              <w:rPr>
                <w:noProof/>
                <w:webHidden/>
              </w:rPr>
            </w:r>
            <w:r w:rsidR="00CE221C">
              <w:rPr>
                <w:noProof/>
                <w:webHidden/>
              </w:rPr>
              <w:fldChar w:fldCharType="separate"/>
            </w:r>
            <w:r w:rsidR="00CE221C">
              <w:rPr>
                <w:noProof/>
                <w:webHidden/>
              </w:rPr>
              <w:t>11</w:t>
            </w:r>
            <w:r w:rsidR="00CE221C">
              <w:rPr>
                <w:noProof/>
                <w:webHidden/>
              </w:rPr>
              <w:fldChar w:fldCharType="end"/>
            </w:r>
          </w:hyperlink>
        </w:p>
        <w:p w14:paraId="4F67A889" w14:textId="77777777" w:rsidR="00CE221C" w:rsidRDefault="00940538">
          <w:pPr>
            <w:pStyle w:val="Sommario2"/>
            <w:rPr>
              <w:rFonts w:cstheme="minorBidi"/>
              <w:noProof/>
            </w:rPr>
          </w:pPr>
          <w:hyperlink w:anchor="_Toc103881173" w:history="1">
            <w:r w:rsidR="00CE221C" w:rsidRPr="00F05A4D">
              <w:rPr>
                <w:rStyle w:val="Collegamentoipertestuale"/>
                <w:bCs/>
                <w:noProof/>
              </w:rPr>
              <w:t>2.1</w:t>
            </w:r>
            <w:r w:rsidR="00CE221C">
              <w:rPr>
                <w:rFonts w:cstheme="minorBidi"/>
                <w:noProof/>
              </w:rPr>
              <w:tab/>
            </w:r>
            <w:r w:rsidR="00CE221C" w:rsidRPr="00F05A4D">
              <w:rPr>
                <w:rStyle w:val="Collegamentoipertestuale"/>
                <w:noProof/>
              </w:rPr>
              <w:t>Indicazione della data di approvazione del Piano Operativo Triennale vigente e della revisione annuale.</w:t>
            </w:r>
            <w:r w:rsidR="00CE221C">
              <w:rPr>
                <w:noProof/>
                <w:webHidden/>
              </w:rPr>
              <w:tab/>
            </w:r>
            <w:r w:rsidR="00CE221C">
              <w:rPr>
                <w:noProof/>
                <w:webHidden/>
              </w:rPr>
              <w:fldChar w:fldCharType="begin"/>
            </w:r>
            <w:r w:rsidR="00CE221C">
              <w:rPr>
                <w:noProof/>
                <w:webHidden/>
              </w:rPr>
              <w:instrText xml:space="preserve"> PAGEREF _Toc103881173 \h </w:instrText>
            </w:r>
            <w:r w:rsidR="00CE221C">
              <w:rPr>
                <w:noProof/>
                <w:webHidden/>
              </w:rPr>
            </w:r>
            <w:r w:rsidR="00CE221C">
              <w:rPr>
                <w:noProof/>
                <w:webHidden/>
              </w:rPr>
              <w:fldChar w:fldCharType="separate"/>
            </w:r>
            <w:r w:rsidR="00CE221C">
              <w:rPr>
                <w:noProof/>
                <w:webHidden/>
              </w:rPr>
              <w:t>11</w:t>
            </w:r>
            <w:r w:rsidR="00CE221C">
              <w:rPr>
                <w:noProof/>
                <w:webHidden/>
              </w:rPr>
              <w:fldChar w:fldCharType="end"/>
            </w:r>
          </w:hyperlink>
        </w:p>
        <w:p w14:paraId="56B9779E" w14:textId="77777777" w:rsidR="00CE221C" w:rsidRDefault="00940538">
          <w:pPr>
            <w:pStyle w:val="Sommario2"/>
            <w:rPr>
              <w:rFonts w:cstheme="minorBidi"/>
              <w:noProof/>
            </w:rPr>
          </w:pPr>
          <w:hyperlink w:anchor="_Toc103881174" w:history="1">
            <w:r w:rsidR="00CE221C" w:rsidRPr="00F05A4D">
              <w:rPr>
                <w:rStyle w:val="Collegamentoipertestuale"/>
                <w:noProof/>
              </w:rPr>
              <w:t>2.2</w:t>
            </w:r>
            <w:r w:rsidR="00CE221C">
              <w:rPr>
                <w:rFonts w:cstheme="minorBidi"/>
                <w:noProof/>
              </w:rPr>
              <w:tab/>
            </w:r>
            <w:r w:rsidR="00CE221C" w:rsidRPr="00F05A4D">
              <w:rPr>
                <w:rStyle w:val="Collegamentoipertestuale"/>
                <w:noProof/>
              </w:rPr>
              <w:t>Aggiornamenti sulla realizzazione delle azioni previste dal documento di pianificazione energetica e ambientale del sistema portuale.</w:t>
            </w:r>
            <w:r w:rsidR="00CE221C">
              <w:rPr>
                <w:noProof/>
                <w:webHidden/>
              </w:rPr>
              <w:tab/>
            </w:r>
            <w:r w:rsidR="00CE221C">
              <w:rPr>
                <w:noProof/>
                <w:webHidden/>
              </w:rPr>
              <w:fldChar w:fldCharType="begin"/>
            </w:r>
            <w:r w:rsidR="00CE221C">
              <w:rPr>
                <w:noProof/>
                <w:webHidden/>
              </w:rPr>
              <w:instrText xml:space="preserve"> PAGEREF _Toc103881174 \h </w:instrText>
            </w:r>
            <w:r w:rsidR="00CE221C">
              <w:rPr>
                <w:noProof/>
                <w:webHidden/>
              </w:rPr>
            </w:r>
            <w:r w:rsidR="00CE221C">
              <w:rPr>
                <w:noProof/>
                <w:webHidden/>
              </w:rPr>
              <w:fldChar w:fldCharType="separate"/>
            </w:r>
            <w:r w:rsidR="00CE221C">
              <w:rPr>
                <w:noProof/>
                <w:webHidden/>
              </w:rPr>
              <w:t>11</w:t>
            </w:r>
            <w:r w:rsidR="00CE221C">
              <w:rPr>
                <w:noProof/>
                <w:webHidden/>
              </w:rPr>
              <w:fldChar w:fldCharType="end"/>
            </w:r>
          </w:hyperlink>
        </w:p>
        <w:p w14:paraId="242EDF29" w14:textId="77777777" w:rsidR="00CE221C" w:rsidRDefault="00940538">
          <w:pPr>
            <w:pStyle w:val="Sommario2"/>
            <w:rPr>
              <w:rFonts w:cstheme="minorBidi"/>
              <w:noProof/>
            </w:rPr>
          </w:pPr>
          <w:hyperlink w:anchor="_Toc103881175" w:history="1">
            <w:r w:rsidR="00CE221C" w:rsidRPr="00F05A4D">
              <w:rPr>
                <w:rStyle w:val="Collegamentoipertestuale"/>
                <w:noProof/>
              </w:rPr>
              <w:t>2.3</w:t>
            </w:r>
            <w:r w:rsidR="00CE221C">
              <w:rPr>
                <w:rFonts w:cstheme="minorBidi"/>
                <w:noProof/>
              </w:rPr>
              <w:tab/>
            </w:r>
            <w:r w:rsidR="00CE221C" w:rsidRPr="00F05A4D">
              <w:rPr>
                <w:rStyle w:val="Collegamentoipertestuale"/>
                <w:noProof/>
              </w:rPr>
              <w:t>Svolgimento di attività connesse alla normativa emergenziale per la pandemia.</w:t>
            </w:r>
            <w:r w:rsidR="00CE221C">
              <w:rPr>
                <w:noProof/>
                <w:webHidden/>
              </w:rPr>
              <w:tab/>
            </w:r>
            <w:r w:rsidR="00CE221C">
              <w:rPr>
                <w:noProof/>
                <w:webHidden/>
              </w:rPr>
              <w:fldChar w:fldCharType="begin"/>
            </w:r>
            <w:r w:rsidR="00CE221C">
              <w:rPr>
                <w:noProof/>
                <w:webHidden/>
              </w:rPr>
              <w:instrText xml:space="preserve"> PAGEREF _Toc103881175 \h </w:instrText>
            </w:r>
            <w:r w:rsidR="00CE221C">
              <w:rPr>
                <w:noProof/>
                <w:webHidden/>
              </w:rPr>
            </w:r>
            <w:r w:rsidR="00CE221C">
              <w:rPr>
                <w:noProof/>
                <w:webHidden/>
              </w:rPr>
              <w:fldChar w:fldCharType="separate"/>
            </w:r>
            <w:r w:rsidR="00CE221C">
              <w:rPr>
                <w:noProof/>
                <w:webHidden/>
              </w:rPr>
              <w:t>14</w:t>
            </w:r>
            <w:r w:rsidR="00CE221C">
              <w:rPr>
                <w:noProof/>
                <w:webHidden/>
              </w:rPr>
              <w:fldChar w:fldCharType="end"/>
            </w:r>
          </w:hyperlink>
        </w:p>
        <w:p w14:paraId="3533FDEA" w14:textId="77777777" w:rsidR="00CE221C" w:rsidRDefault="00940538">
          <w:pPr>
            <w:pStyle w:val="Sommario2"/>
            <w:rPr>
              <w:rFonts w:cstheme="minorBidi"/>
              <w:noProof/>
            </w:rPr>
          </w:pPr>
          <w:hyperlink w:anchor="_Toc103881176" w:history="1">
            <w:r w:rsidR="00CE221C" w:rsidRPr="00F05A4D">
              <w:rPr>
                <w:rStyle w:val="Collegamentoipertestuale"/>
                <w:noProof/>
              </w:rPr>
              <w:t>2.4</w:t>
            </w:r>
            <w:r w:rsidR="00CE221C">
              <w:rPr>
                <w:rFonts w:cstheme="minorBidi"/>
                <w:noProof/>
              </w:rPr>
              <w:tab/>
            </w:r>
            <w:r w:rsidR="00CE221C" w:rsidRPr="00F05A4D">
              <w:rPr>
                <w:rStyle w:val="Collegamentoipertestuale"/>
                <w:noProof/>
              </w:rPr>
              <w:t>Compilazione della tabella allegata con i dati relativi al traffico di merci e passeggeri per ciascun scalo di competenza e per l’intero sistema portuale sulla base dello schema allegato.</w:t>
            </w:r>
            <w:r w:rsidR="00CE221C">
              <w:rPr>
                <w:noProof/>
                <w:webHidden/>
              </w:rPr>
              <w:tab/>
            </w:r>
            <w:r w:rsidR="00CE221C">
              <w:rPr>
                <w:noProof/>
                <w:webHidden/>
              </w:rPr>
              <w:fldChar w:fldCharType="begin"/>
            </w:r>
            <w:r w:rsidR="00CE221C">
              <w:rPr>
                <w:noProof/>
                <w:webHidden/>
              </w:rPr>
              <w:instrText xml:space="preserve"> PAGEREF _Toc103881176 \h </w:instrText>
            </w:r>
            <w:r w:rsidR="00CE221C">
              <w:rPr>
                <w:noProof/>
                <w:webHidden/>
              </w:rPr>
            </w:r>
            <w:r w:rsidR="00CE221C">
              <w:rPr>
                <w:noProof/>
                <w:webHidden/>
              </w:rPr>
              <w:fldChar w:fldCharType="separate"/>
            </w:r>
            <w:r w:rsidR="00CE221C">
              <w:rPr>
                <w:noProof/>
                <w:webHidden/>
              </w:rPr>
              <w:t>16</w:t>
            </w:r>
            <w:r w:rsidR="00CE221C">
              <w:rPr>
                <w:noProof/>
                <w:webHidden/>
              </w:rPr>
              <w:fldChar w:fldCharType="end"/>
            </w:r>
          </w:hyperlink>
        </w:p>
        <w:p w14:paraId="26A0C191" w14:textId="77777777" w:rsidR="00CE221C" w:rsidRDefault="00940538">
          <w:pPr>
            <w:pStyle w:val="Sommario2"/>
            <w:rPr>
              <w:rFonts w:cstheme="minorBidi"/>
              <w:noProof/>
            </w:rPr>
          </w:pPr>
          <w:hyperlink w:anchor="_Toc103881177" w:history="1">
            <w:r w:rsidR="00CE221C" w:rsidRPr="00F05A4D">
              <w:rPr>
                <w:rStyle w:val="Collegamentoipertestuale"/>
                <w:noProof/>
              </w:rPr>
              <w:t>2.5</w:t>
            </w:r>
            <w:r w:rsidR="00CE221C">
              <w:rPr>
                <w:rFonts w:cstheme="minorBidi"/>
                <w:noProof/>
              </w:rPr>
              <w:tab/>
            </w:r>
            <w:r w:rsidR="00CE221C" w:rsidRPr="00F05A4D">
              <w:rPr>
                <w:rStyle w:val="Collegamentoipertestuale"/>
                <w:noProof/>
              </w:rPr>
              <w:t>Indicazione della percentuale relativa alle spese per il personale rispetto alle entrate correnti.</w:t>
            </w:r>
            <w:r w:rsidR="00CE221C">
              <w:rPr>
                <w:noProof/>
                <w:webHidden/>
              </w:rPr>
              <w:tab/>
            </w:r>
            <w:r w:rsidR="00CE221C">
              <w:rPr>
                <w:noProof/>
                <w:webHidden/>
              </w:rPr>
              <w:fldChar w:fldCharType="begin"/>
            </w:r>
            <w:r w:rsidR="00CE221C">
              <w:rPr>
                <w:noProof/>
                <w:webHidden/>
              </w:rPr>
              <w:instrText xml:space="preserve"> PAGEREF _Toc103881177 \h </w:instrText>
            </w:r>
            <w:r w:rsidR="00CE221C">
              <w:rPr>
                <w:noProof/>
                <w:webHidden/>
              </w:rPr>
            </w:r>
            <w:r w:rsidR="00CE221C">
              <w:rPr>
                <w:noProof/>
                <w:webHidden/>
              </w:rPr>
              <w:fldChar w:fldCharType="separate"/>
            </w:r>
            <w:r w:rsidR="00CE221C">
              <w:rPr>
                <w:noProof/>
                <w:webHidden/>
              </w:rPr>
              <w:t>16</w:t>
            </w:r>
            <w:r w:rsidR="00CE221C">
              <w:rPr>
                <w:noProof/>
                <w:webHidden/>
              </w:rPr>
              <w:fldChar w:fldCharType="end"/>
            </w:r>
          </w:hyperlink>
        </w:p>
        <w:p w14:paraId="002E9D10" w14:textId="77777777" w:rsidR="00CE221C" w:rsidRDefault="00940538">
          <w:pPr>
            <w:pStyle w:val="Sommario2"/>
            <w:rPr>
              <w:rFonts w:cstheme="minorBidi"/>
              <w:noProof/>
            </w:rPr>
          </w:pPr>
          <w:hyperlink w:anchor="_Toc103881178" w:history="1">
            <w:r w:rsidR="00CE221C" w:rsidRPr="00F05A4D">
              <w:rPr>
                <w:rStyle w:val="Collegamentoipertestuale"/>
                <w:noProof/>
              </w:rPr>
              <w:t>2.6</w:t>
            </w:r>
            <w:r w:rsidR="00CE221C">
              <w:rPr>
                <w:rFonts w:cstheme="minorBidi"/>
                <w:noProof/>
              </w:rPr>
              <w:tab/>
            </w:r>
            <w:r w:rsidR="00CE221C" w:rsidRPr="00F05A4D">
              <w:rPr>
                <w:rStyle w:val="Collegamentoipertestuale"/>
                <w:noProof/>
              </w:rPr>
              <w:t>Indicazione della percentuale relativa alla spesa per la contrattazione di secondo livello rispetto alla spesa per il personale.</w:t>
            </w:r>
            <w:r w:rsidR="00CE221C">
              <w:rPr>
                <w:noProof/>
                <w:webHidden/>
              </w:rPr>
              <w:tab/>
            </w:r>
            <w:r w:rsidR="00CE221C">
              <w:rPr>
                <w:noProof/>
                <w:webHidden/>
              </w:rPr>
              <w:fldChar w:fldCharType="begin"/>
            </w:r>
            <w:r w:rsidR="00CE221C">
              <w:rPr>
                <w:noProof/>
                <w:webHidden/>
              </w:rPr>
              <w:instrText xml:space="preserve"> PAGEREF _Toc103881178 \h </w:instrText>
            </w:r>
            <w:r w:rsidR="00CE221C">
              <w:rPr>
                <w:noProof/>
                <w:webHidden/>
              </w:rPr>
            </w:r>
            <w:r w:rsidR="00CE221C">
              <w:rPr>
                <w:noProof/>
                <w:webHidden/>
              </w:rPr>
              <w:fldChar w:fldCharType="separate"/>
            </w:r>
            <w:r w:rsidR="00CE221C">
              <w:rPr>
                <w:noProof/>
                <w:webHidden/>
              </w:rPr>
              <w:t>17</w:t>
            </w:r>
            <w:r w:rsidR="00CE221C">
              <w:rPr>
                <w:noProof/>
                <w:webHidden/>
              </w:rPr>
              <w:fldChar w:fldCharType="end"/>
            </w:r>
          </w:hyperlink>
        </w:p>
        <w:p w14:paraId="174C29EF" w14:textId="77777777" w:rsidR="00CE221C" w:rsidRDefault="00940538">
          <w:pPr>
            <w:pStyle w:val="Sommario2"/>
            <w:rPr>
              <w:rFonts w:cstheme="minorBidi"/>
              <w:noProof/>
            </w:rPr>
          </w:pPr>
          <w:hyperlink w:anchor="_Toc103881179" w:history="1">
            <w:r w:rsidR="00CE221C" w:rsidRPr="00F05A4D">
              <w:rPr>
                <w:rStyle w:val="Collegamentoipertestuale"/>
                <w:noProof/>
              </w:rPr>
              <w:t>2.7</w:t>
            </w:r>
            <w:r w:rsidR="00CE221C">
              <w:rPr>
                <w:rFonts w:cstheme="minorBidi"/>
                <w:noProof/>
              </w:rPr>
              <w:tab/>
            </w:r>
            <w:r w:rsidR="00CE221C" w:rsidRPr="00F05A4D">
              <w:rPr>
                <w:rStyle w:val="Collegamentoipertestuale"/>
                <w:noProof/>
              </w:rPr>
              <w:t>Compilazione della scheda allegata relativa all’indicazione della percentuale relativa alla spesa, in conto competenza e in conto residui, per l’avanzamento delle opere infrastrutturali rispetto alle uscite in conto capitale, in conto competenza e in conto residui.</w:t>
            </w:r>
            <w:r w:rsidR="00CE221C">
              <w:rPr>
                <w:noProof/>
                <w:webHidden/>
              </w:rPr>
              <w:tab/>
            </w:r>
            <w:r w:rsidR="00CE221C">
              <w:rPr>
                <w:noProof/>
                <w:webHidden/>
              </w:rPr>
              <w:fldChar w:fldCharType="begin"/>
            </w:r>
            <w:r w:rsidR="00CE221C">
              <w:rPr>
                <w:noProof/>
                <w:webHidden/>
              </w:rPr>
              <w:instrText xml:space="preserve"> PAGEREF _Toc103881179 \h </w:instrText>
            </w:r>
            <w:r w:rsidR="00CE221C">
              <w:rPr>
                <w:noProof/>
                <w:webHidden/>
              </w:rPr>
            </w:r>
            <w:r w:rsidR="00CE221C">
              <w:rPr>
                <w:noProof/>
                <w:webHidden/>
              </w:rPr>
              <w:fldChar w:fldCharType="separate"/>
            </w:r>
            <w:r w:rsidR="00CE221C">
              <w:rPr>
                <w:noProof/>
                <w:webHidden/>
              </w:rPr>
              <w:t>17</w:t>
            </w:r>
            <w:r w:rsidR="00CE221C">
              <w:rPr>
                <w:noProof/>
                <w:webHidden/>
              </w:rPr>
              <w:fldChar w:fldCharType="end"/>
            </w:r>
          </w:hyperlink>
        </w:p>
        <w:p w14:paraId="5FF1755D" w14:textId="77777777" w:rsidR="00CE221C" w:rsidRDefault="00940538">
          <w:pPr>
            <w:pStyle w:val="Sommario1"/>
            <w:rPr>
              <w:rFonts w:cstheme="minorBidi"/>
              <w:noProof/>
            </w:rPr>
          </w:pPr>
          <w:hyperlink w:anchor="_Toc103881180" w:history="1">
            <w:r w:rsidR="00CE221C" w:rsidRPr="00F05A4D">
              <w:rPr>
                <w:rStyle w:val="Collegamentoipertestuale"/>
                <w:b/>
                <w:bCs/>
                <w:noProof/>
              </w:rPr>
              <w:t>3.</w:t>
            </w:r>
            <w:r w:rsidR="00CE221C">
              <w:rPr>
                <w:rFonts w:cstheme="minorBidi"/>
                <w:noProof/>
              </w:rPr>
              <w:tab/>
            </w:r>
            <w:r w:rsidR="00CE221C" w:rsidRPr="00F05A4D">
              <w:rPr>
                <w:rStyle w:val="Collegamentoipertestuale"/>
                <w:b/>
                <w:bCs/>
                <w:noProof/>
              </w:rPr>
              <w:t>Attività svolte in ambito portuale</w:t>
            </w:r>
            <w:r w:rsidR="00CE221C">
              <w:rPr>
                <w:noProof/>
                <w:webHidden/>
              </w:rPr>
              <w:tab/>
            </w:r>
            <w:r w:rsidR="00CE221C">
              <w:rPr>
                <w:noProof/>
                <w:webHidden/>
              </w:rPr>
              <w:fldChar w:fldCharType="begin"/>
            </w:r>
            <w:r w:rsidR="00CE221C">
              <w:rPr>
                <w:noProof/>
                <w:webHidden/>
              </w:rPr>
              <w:instrText xml:space="preserve"> PAGEREF _Toc103881180 \h </w:instrText>
            </w:r>
            <w:r w:rsidR="00CE221C">
              <w:rPr>
                <w:noProof/>
                <w:webHidden/>
              </w:rPr>
            </w:r>
            <w:r w:rsidR="00CE221C">
              <w:rPr>
                <w:noProof/>
                <w:webHidden/>
              </w:rPr>
              <w:fldChar w:fldCharType="separate"/>
            </w:r>
            <w:r w:rsidR="00CE221C">
              <w:rPr>
                <w:noProof/>
                <w:webHidden/>
              </w:rPr>
              <w:t>18</w:t>
            </w:r>
            <w:r w:rsidR="00CE221C">
              <w:rPr>
                <w:noProof/>
                <w:webHidden/>
              </w:rPr>
              <w:fldChar w:fldCharType="end"/>
            </w:r>
          </w:hyperlink>
        </w:p>
        <w:p w14:paraId="4D305A31" w14:textId="77777777" w:rsidR="00CE221C" w:rsidRDefault="00940538">
          <w:pPr>
            <w:pStyle w:val="Sommario2"/>
            <w:rPr>
              <w:rFonts w:cstheme="minorBidi"/>
              <w:noProof/>
            </w:rPr>
          </w:pPr>
          <w:hyperlink w:anchor="_Toc103881181" w:history="1">
            <w:r w:rsidR="00CE221C" w:rsidRPr="00F05A4D">
              <w:rPr>
                <w:rStyle w:val="Collegamentoipertestuale"/>
                <w:bCs/>
                <w:noProof/>
              </w:rPr>
              <w:t>3.1</w:t>
            </w:r>
            <w:r w:rsidR="00CE221C">
              <w:rPr>
                <w:rFonts w:cstheme="minorBidi"/>
                <w:noProof/>
              </w:rPr>
              <w:tab/>
            </w:r>
            <w:r w:rsidR="00CE221C" w:rsidRPr="00F05A4D">
              <w:rPr>
                <w:rStyle w:val="Collegamentoipertestuale"/>
                <w:noProof/>
              </w:rPr>
              <w:t>Articoli 16, 17 e 18 della legge n. 84/94</w:t>
            </w:r>
            <w:r w:rsidR="00CE221C">
              <w:rPr>
                <w:noProof/>
                <w:webHidden/>
              </w:rPr>
              <w:tab/>
            </w:r>
            <w:r w:rsidR="00CE221C">
              <w:rPr>
                <w:noProof/>
                <w:webHidden/>
              </w:rPr>
              <w:fldChar w:fldCharType="begin"/>
            </w:r>
            <w:r w:rsidR="00CE221C">
              <w:rPr>
                <w:noProof/>
                <w:webHidden/>
              </w:rPr>
              <w:instrText xml:space="preserve"> PAGEREF _Toc103881181 \h </w:instrText>
            </w:r>
            <w:r w:rsidR="00CE221C">
              <w:rPr>
                <w:noProof/>
                <w:webHidden/>
              </w:rPr>
            </w:r>
            <w:r w:rsidR="00CE221C">
              <w:rPr>
                <w:noProof/>
                <w:webHidden/>
              </w:rPr>
              <w:fldChar w:fldCharType="separate"/>
            </w:r>
            <w:r w:rsidR="00CE221C">
              <w:rPr>
                <w:noProof/>
                <w:webHidden/>
              </w:rPr>
              <w:t>18</w:t>
            </w:r>
            <w:r w:rsidR="00CE221C">
              <w:rPr>
                <w:noProof/>
                <w:webHidden/>
              </w:rPr>
              <w:fldChar w:fldCharType="end"/>
            </w:r>
          </w:hyperlink>
        </w:p>
        <w:p w14:paraId="5300DAF3" w14:textId="77777777" w:rsidR="00CE221C" w:rsidRDefault="00940538">
          <w:pPr>
            <w:pStyle w:val="Sommario3"/>
            <w:rPr>
              <w:rFonts w:cstheme="minorBidi"/>
              <w:noProof/>
            </w:rPr>
          </w:pPr>
          <w:hyperlink w:anchor="_Toc103881182" w:history="1">
            <w:r w:rsidR="00CE221C" w:rsidRPr="00F05A4D">
              <w:rPr>
                <w:rStyle w:val="Collegamentoipertestuale"/>
                <w:bCs/>
                <w:noProof/>
              </w:rPr>
              <w:t>3.1.1</w:t>
            </w:r>
            <w:r w:rsidR="00CE221C">
              <w:rPr>
                <w:rFonts w:cstheme="minorBidi"/>
                <w:noProof/>
              </w:rPr>
              <w:tab/>
            </w:r>
            <w:r w:rsidR="00CE221C" w:rsidRPr="00F05A4D">
              <w:rPr>
                <w:rStyle w:val="Collegamentoipertestuale"/>
                <w:noProof/>
              </w:rPr>
              <w:t>Notizie sulla revisione annuale del Piano Organico del Porto</w:t>
            </w:r>
            <w:r w:rsidR="00CE221C">
              <w:rPr>
                <w:noProof/>
                <w:webHidden/>
              </w:rPr>
              <w:tab/>
            </w:r>
            <w:r w:rsidR="00CE221C">
              <w:rPr>
                <w:noProof/>
                <w:webHidden/>
              </w:rPr>
              <w:fldChar w:fldCharType="begin"/>
            </w:r>
            <w:r w:rsidR="00CE221C">
              <w:rPr>
                <w:noProof/>
                <w:webHidden/>
              </w:rPr>
              <w:instrText xml:space="preserve"> PAGEREF _Toc103881182 \h </w:instrText>
            </w:r>
            <w:r w:rsidR="00CE221C">
              <w:rPr>
                <w:noProof/>
                <w:webHidden/>
              </w:rPr>
            </w:r>
            <w:r w:rsidR="00CE221C">
              <w:rPr>
                <w:noProof/>
                <w:webHidden/>
              </w:rPr>
              <w:fldChar w:fldCharType="separate"/>
            </w:r>
            <w:r w:rsidR="00CE221C">
              <w:rPr>
                <w:noProof/>
                <w:webHidden/>
              </w:rPr>
              <w:t>18</w:t>
            </w:r>
            <w:r w:rsidR="00CE221C">
              <w:rPr>
                <w:noProof/>
                <w:webHidden/>
              </w:rPr>
              <w:fldChar w:fldCharType="end"/>
            </w:r>
          </w:hyperlink>
        </w:p>
        <w:p w14:paraId="62DC6B40" w14:textId="77777777" w:rsidR="00CE221C" w:rsidRDefault="00940538">
          <w:pPr>
            <w:pStyle w:val="Sommario3"/>
            <w:rPr>
              <w:rFonts w:cstheme="minorBidi"/>
              <w:noProof/>
            </w:rPr>
          </w:pPr>
          <w:hyperlink w:anchor="_Toc103881183" w:history="1">
            <w:r w:rsidR="00CE221C" w:rsidRPr="00F05A4D">
              <w:rPr>
                <w:rStyle w:val="Collegamentoipertestuale"/>
                <w:noProof/>
              </w:rPr>
              <w:t>3.1.2</w:t>
            </w:r>
            <w:r w:rsidR="00CE221C">
              <w:rPr>
                <w:rFonts w:cstheme="minorBidi"/>
                <w:noProof/>
              </w:rPr>
              <w:tab/>
            </w:r>
            <w:r w:rsidR="00CE221C" w:rsidRPr="00F05A4D">
              <w:rPr>
                <w:rStyle w:val="Collegamentoipertestuale"/>
                <w:noProof/>
              </w:rPr>
              <w:t>Notizie di carattere generale su eventuali criticità verificatesi, su eventuali nuovi rilasci di autorizzazioni o concessioni e sui provvedimenti di sospensione/revoca delle stesse.</w:t>
            </w:r>
            <w:r w:rsidR="00CE221C">
              <w:rPr>
                <w:noProof/>
                <w:webHidden/>
              </w:rPr>
              <w:tab/>
            </w:r>
            <w:r w:rsidR="00CE221C">
              <w:rPr>
                <w:noProof/>
                <w:webHidden/>
              </w:rPr>
              <w:fldChar w:fldCharType="begin"/>
            </w:r>
            <w:r w:rsidR="00CE221C">
              <w:rPr>
                <w:noProof/>
                <w:webHidden/>
              </w:rPr>
              <w:instrText xml:space="preserve"> PAGEREF _Toc103881183 \h </w:instrText>
            </w:r>
            <w:r w:rsidR="00CE221C">
              <w:rPr>
                <w:noProof/>
                <w:webHidden/>
              </w:rPr>
            </w:r>
            <w:r w:rsidR="00CE221C">
              <w:rPr>
                <w:noProof/>
                <w:webHidden/>
              </w:rPr>
              <w:fldChar w:fldCharType="separate"/>
            </w:r>
            <w:r w:rsidR="00CE221C">
              <w:rPr>
                <w:noProof/>
                <w:webHidden/>
              </w:rPr>
              <w:t>18</w:t>
            </w:r>
            <w:r w:rsidR="00CE221C">
              <w:rPr>
                <w:noProof/>
                <w:webHidden/>
              </w:rPr>
              <w:fldChar w:fldCharType="end"/>
            </w:r>
          </w:hyperlink>
        </w:p>
        <w:p w14:paraId="3D0B6153" w14:textId="77777777" w:rsidR="00CE221C" w:rsidRDefault="00940538">
          <w:pPr>
            <w:pStyle w:val="Sommario3"/>
            <w:rPr>
              <w:rFonts w:cstheme="minorBidi"/>
              <w:noProof/>
            </w:rPr>
          </w:pPr>
          <w:hyperlink w:anchor="_Toc103881184" w:history="1">
            <w:r w:rsidR="00CE221C" w:rsidRPr="00F05A4D">
              <w:rPr>
                <w:rStyle w:val="Collegamentoipertestuale"/>
                <w:noProof/>
              </w:rPr>
              <w:t>3.1.3</w:t>
            </w:r>
            <w:r w:rsidR="00CE221C">
              <w:rPr>
                <w:rFonts w:cstheme="minorBidi"/>
                <w:noProof/>
              </w:rPr>
              <w:tab/>
            </w:r>
            <w:r w:rsidR="00CE221C" w:rsidRPr="00F05A4D">
              <w:rPr>
                <w:rStyle w:val="Collegamentoipertestuale"/>
                <w:noProof/>
              </w:rPr>
              <w:t>Notizie in merito all’applicazione art. 199, comma 1, lett. b) del decreto legge n. 34/2020, conv. in legge n. 77/2020.</w:t>
            </w:r>
            <w:r w:rsidR="00CE221C">
              <w:rPr>
                <w:noProof/>
                <w:webHidden/>
              </w:rPr>
              <w:tab/>
            </w:r>
            <w:r w:rsidR="00CE221C">
              <w:rPr>
                <w:noProof/>
                <w:webHidden/>
              </w:rPr>
              <w:fldChar w:fldCharType="begin"/>
            </w:r>
            <w:r w:rsidR="00CE221C">
              <w:rPr>
                <w:noProof/>
                <w:webHidden/>
              </w:rPr>
              <w:instrText xml:space="preserve"> PAGEREF _Toc103881184 \h </w:instrText>
            </w:r>
            <w:r w:rsidR="00CE221C">
              <w:rPr>
                <w:noProof/>
                <w:webHidden/>
              </w:rPr>
            </w:r>
            <w:r w:rsidR="00CE221C">
              <w:rPr>
                <w:noProof/>
                <w:webHidden/>
              </w:rPr>
              <w:fldChar w:fldCharType="separate"/>
            </w:r>
            <w:r w:rsidR="00CE221C">
              <w:rPr>
                <w:noProof/>
                <w:webHidden/>
              </w:rPr>
              <w:t>18</w:t>
            </w:r>
            <w:r w:rsidR="00CE221C">
              <w:rPr>
                <w:noProof/>
                <w:webHidden/>
              </w:rPr>
              <w:fldChar w:fldCharType="end"/>
            </w:r>
          </w:hyperlink>
        </w:p>
        <w:p w14:paraId="78A17647" w14:textId="77777777" w:rsidR="00CE221C" w:rsidRDefault="00940538">
          <w:pPr>
            <w:pStyle w:val="Sommario3"/>
            <w:rPr>
              <w:rFonts w:cstheme="minorBidi"/>
              <w:noProof/>
            </w:rPr>
          </w:pPr>
          <w:hyperlink w:anchor="_Toc103881185" w:history="1">
            <w:r w:rsidR="00CE221C" w:rsidRPr="00F05A4D">
              <w:rPr>
                <w:rStyle w:val="Collegamentoipertestuale"/>
                <w:noProof/>
              </w:rPr>
              <w:t>3.1.4</w:t>
            </w:r>
            <w:r w:rsidR="00CE221C">
              <w:rPr>
                <w:rFonts w:cstheme="minorBidi"/>
                <w:noProof/>
              </w:rPr>
              <w:tab/>
            </w:r>
            <w:r w:rsidR="00CE221C" w:rsidRPr="00F05A4D">
              <w:rPr>
                <w:rStyle w:val="Collegamentoipertestuale"/>
                <w:noProof/>
              </w:rPr>
              <w:t>Notizie in merito all’attività di formazione prevista dal comma 8 dell’articolo 17.</w:t>
            </w:r>
            <w:r w:rsidR="00CE221C">
              <w:rPr>
                <w:noProof/>
                <w:webHidden/>
              </w:rPr>
              <w:tab/>
            </w:r>
            <w:r w:rsidR="00CE221C">
              <w:rPr>
                <w:noProof/>
                <w:webHidden/>
              </w:rPr>
              <w:fldChar w:fldCharType="begin"/>
            </w:r>
            <w:r w:rsidR="00CE221C">
              <w:rPr>
                <w:noProof/>
                <w:webHidden/>
              </w:rPr>
              <w:instrText xml:space="preserve"> PAGEREF _Toc103881185 \h </w:instrText>
            </w:r>
            <w:r w:rsidR="00CE221C">
              <w:rPr>
                <w:noProof/>
                <w:webHidden/>
              </w:rPr>
            </w:r>
            <w:r w:rsidR="00CE221C">
              <w:rPr>
                <w:noProof/>
                <w:webHidden/>
              </w:rPr>
              <w:fldChar w:fldCharType="separate"/>
            </w:r>
            <w:r w:rsidR="00CE221C">
              <w:rPr>
                <w:noProof/>
                <w:webHidden/>
              </w:rPr>
              <w:t>19</w:t>
            </w:r>
            <w:r w:rsidR="00CE221C">
              <w:rPr>
                <w:noProof/>
                <w:webHidden/>
              </w:rPr>
              <w:fldChar w:fldCharType="end"/>
            </w:r>
          </w:hyperlink>
        </w:p>
        <w:p w14:paraId="65438CC8" w14:textId="77777777" w:rsidR="00CE221C" w:rsidRDefault="00940538">
          <w:pPr>
            <w:pStyle w:val="Sommario3"/>
            <w:rPr>
              <w:rFonts w:cstheme="minorBidi"/>
              <w:noProof/>
            </w:rPr>
          </w:pPr>
          <w:hyperlink w:anchor="_Toc103881186" w:history="1">
            <w:r w:rsidR="00CE221C" w:rsidRPr="00F05A4D">
              <w:rPr>
                <w:rStyle w:val="Collegamentoipertestuale"/>
                <w:noProof/>
              </w:rPr>
              <w:t>3.1.5</w:t>
            </w:r>
            <w:r w:rsidR="00CE221C">
              <w:rPr>
                <w:rFonts w:cstheme="minorBidi"/>
                <w:noProof/>
              </w:rPr>
              <w:tab/>
            </w:r>
            <w:r w:rsidR="00CE221C" w:rsidRPr="00F05A4D">
              <w:rPr>
                <w:rStyle w:val="Collegamentoipertestuale"/>
                <w:noProof/>
              </w:rPr>
              <w:t>Notizie in merito all’applicazione del comma 15 bis dell’articolo 17.</w:t>
            </w:r>
            <w:r w:rsidR="00CE221C">
              <w:rPr>
                <w:noProof/>
                <w:webHidden/>
              </w:rPr>
              <w:tab/>
            </w:r>
            <w:r w:rsidR="00CE221C">
              <w:rPr>
                <w:noProof/>
                <w:webHidden/>
              </w:rPr>
              <w:fldChar w:fldCharType="begin"/>
            </w:r>
            <w:r w:rsidR="00CE221C">
              <w:rPr>
                <w:noProof/>
                <w:webHidden/>
              </w:rPr>
              <w:instrText xml:space="preserve"> PAGEREF _Toc103881186 \h </w:instrText>
            </w:r>
            <w:r w:rsidR="00CE221C">
              <w:rPr>
                <w:noProof/>
                <w:webHidden/>
              </w:rPr>
            </w:r>
            <w:r w:rsidR="00CE221C">
              <w:rPr>
                <w:noProof/>
                <w:webHidden/>
              </w:rPr>
              <w:fldChar w:fldCharType="separate"/>
            </w:r>
            <w:r w:rsidR="00CE221C">
              <w:rPr>
                <w:noProof/>
                <w:webHidden/>
              </w:rPr>
              <w:t>19</w:t>
            </w:r>
            <w:r w:rsidR="00CE221C">
              <w:rPr>
                <w:noProof/>
                <w:webHidden/>
              </w:rPr>
              <w:fldChar w:fldCharType="end"/>
            </w:r>
          </w:hyperlink>
        </w:p>
        <w:p w14:paraId="6B7CD2C2" w14:textId="77777777" w:rsidR="00CE221C" w:rsidRDefault="00940538">
          <w:pPr>
            <w:pStyle w:val="Sommario2"/>
            <w:rPr>
              <w:rFonts w:cstheme="minorBidi"/>
              <w:noProof/>
            </w:rPr>
          </w:pPr>
          <w:hyperlink w:anchor="_Toc103881187" w:history="1">
            <w:r w:rsidR="00CE221C" w:rsidRPr="00F05A4D">
              <w:rPr>
                <w:rStyle w:val="Collegamentoipertestuale"/>
                <w:noProof/>
              </w:rPr>
              <w:t>3.2</w:t>
            </w:r>
            <w:r w:rsidR="00CE221C">
              <w:rPr>
                <w:rFonts w:cstheme="minorBidi"/>
                <w:noProof/>
              </w:rPr>
              <w:tab/>
            </w:r>
            <w:r w:rsidR="00CE221C" w:rsidRPr="00F05A4D">
              <w:rPr>
                <w:rStyle w:val="Collegamentoipertestuale"/>
                <w:noProof/>
              </w:rPr>
              <w:t>Notizie in merito all’affidamento di servizi di interesse generale.</w:t>
            </w:r>
            <w:r w:rsidR="00CE221C">
              <w:rPr>
                <w:noProof/>
                <w:webHidden/>
              </w:rPr>
              <w:tab/>
            </w:r>
            <w:r w:rsidR="00CE221C">
              <w:rPr>
                <w:noProof/>
                <w:webHidden/>
              </w:rPr>
              <w:fldChar w:fldCharType="begin"/>
            </w:r>
            <w:r w:rsidR="00CE221C">
              <w:rPr>
                <w:noProof/>
                <w:webHidden/>
              </w:rPr>
              <w:instrText xml:space="preserve"> PAGEREF _Toc103881187 \h </w:instrText>
            </w:r>
            <w:r w:rsidR="00CE221C">
              <w:rPr>
                <w:noProof/>
                <w:webHidden/>
              </w:rPr>
            </w:r>
            <w:r w:rsidR="00CE221C">
              <w:rPr>
                <w:noProof/>
                <w:webHidden/>
              </w:rPr>
              <w:fldChar w:fldCharType="separate"/>
            </w:r>
            <w:r w:rsidR="00CE221C">
              <w:rPr>
                <w:noProof/>
                <w:webHidden/>
              </w:rPr>
              <w:t>20</w:t>
            </w:r>
            <w:r w:rsidR="00CE221C">
              <w:rPr>
                <w:noProof/>
                <w:webHidden/>
              </w:rPr>
              <w:fldChar w:fldCharType="end"/>
            </w:r>
          </w:hyperlink>
        </w:p>
        <w:p w14:paraId="2EAE5137" w14:textId="77777777" w:rsidR="00CE221C" w:rsidRDefault="00940538">
          <w:pPr>
            <w:pStyle w:val="Sommario1"/>
            <w:rPr>
              <w:rFonts w:cstheme="minorBidi"/>
              <w:noProof/>
            </w:rPr>
          </w:pPr>
          <w:hyperlink w:anchor="_Toc103881188" w:history="1">
            <w:r w:rsidR="00CE221C" w:rsidRPr="00F05A4D">
              <w:rPr>
                <w:rStyle w:val="Collegamentoipertestuale"/>
                <w:b/>
                <w:bCs/>
                <w:noProof/>
              </w:rPr>
              <w:t>4.</w:t>
            </w:r>
            <w:r w:rsidR="00CE221C">
              <w:rPr>
                <w:rFonts w:cstheme="minorBidi"/>
                <w:noProof/>
              </w:rPr>
              <w:tab/>
            </w:r>
            <w:r w:rsidR="00CE221C" w:rsidRPr="00F05A4D">
              <w:rPr>
                <w:rStyle w:val="Collegamentoipertestuale"/>
                <w:b/>
                <w:bCs/>
                <w:noProof/>
              </w:rPr>
              <w:t>Manutenzione ordinaria/straordinaria e interventi infrastrutturali – Opere di grande infrastrutturazione</w:t>
            </w:r>
            <w:r w:rsidR="00CE221C">
              <w:rPr>
                <w:noProof/>
                <w:webHidden/>
              </w:rPr>
              <w:tab/>
            </w:r>
            <w:r w:rsidR="00CE221C">
              <w:rPr>
                <w:noProof/>
                <w:webHidden/>
              </w:rPr>
              <w:fldChar w:fldCharType="begin"/>
            </w:r>
            <w:r w:rsidR="00CE221C">
              <w:rPr>
                <w:noProof/>
                <w:webHidden/>
              </w:rPr>
              <w:instrText xml:space="preserve"> PAGEREF _Toc103881188 \h </w:instrText>
            </w:r>
            <w:r w:rsidR="00CE221C">
              <w:rPr>
                <w:noProof/>
                <w:webHidden/>
              </w:rPr>
            </w:r>
            <w:r w:rsidR="00CE221C">
              <w:rPr>
                <w:noProof/>
                <w:webHidden/>
              </w:rPr>
              <w:fldChar w:fldCharType="separate"/>
            </w:r>
            <w:r w:rsidR="00CE221C">
              <w:rPr>
                <w:noProof/>
                <w:webHidden/>
              </w:rPr>
              <w:t>22</w:t>
            </w:r>
            <w:r w:rsidR="00CE221C">
              <w:rPr>
                <w:noProof/>
                <w:webHidden/>
              </w:rPr>
              <w:fldChar w:fldCharType="end"/>
            </w:r>
          </w:hyperlink>
        </w:p>
        <w:p w14:paraId="706E84D1" w14:textId="77777777" w:rsidR="00CE221C" w:rsidRDefault="00940538">
          <w:pPr>
            <w:pStyle w:val="Sommario2"/>
            <w:rPr>
              <w:rFonts w:cstheme="minorBidi"/>
              <w:noProof/>
            </w:rPr>
          </w:pPr>
          <w:hyperlink w:anchor="_Toc103881189" w:history="1">
            <w:r w:rsidR="00CE221C" w:rsidRPr="00F05A4D">
              <w:rPr>
                <w:rStyle w:val="Collegamentoipertestuale"/>
                <w:noProof/>
              </w:rPr>
              <w:t>4.1</w:t>
            </w:r>
            <w:r w:rsidR="00CE221C">
              <w:rPr>
                <w:rFonts w:cstheme="minorBidi"/>
                <w:noProof/>
              </w:rPr>
              <w:tab/>
            </w:r>
            <w:r w:rsidR="00CE221C" w:rsidRPr="00F05A4D">
              <w:rPr>
                <w:rStyle w:val="Collegamentoipertestuale"/>
                <w:noProof/>
              </w:rPr>
              <w:t>Compilazione dell’unita scheda relativa agli Interventi ricompresi nell’elenco annuale 2020 del programma triennale delle opere pubbliche dell’Ente: Stato di attuazione degli interventi programmati per il 2021, alla data del 31/12/2021.</w:t>
            </w:r>
            <w:r w:rsidR="00CE221C">
              <w:rPr>
                <w:noProof/>
                <w:webHidden/>
              </w:rPr>
              <w:tab/>
            </w:r>
            <w:r w:rsidR="00CE221C">
              <w:rPr>
                <w:noProof/>
                <w:webHidden/>
              </w:rPr>
              <w:fldChar w:fldCharType="begin"/>
            </w:r>
            <w:r w:rsidR="00CE221C">
              <w:rPr>
                <w:noProof/>
                <w:webHidden/>
              </w:rPr>
              <w:instrText xml:space="preserve"> PAGEREF _Toc103881189 \h </w:instrText>
            </w:r>
            <w:r w:rsidR="00CE221C">
              <w:rPr>
                <w:noProof/>
                <w:webHidden/>
              </w:rPr>
            </w:r>
            <w:r w:rsidR="00CE221C">
              <w:rPr>
                <w:noProof/>
                <w:webHidden/>
              </w:rPr>
              <w:fldChar w:fldCharType="separate"/>
            </w:r>
            <w:r w:rsidR="00CE221C">
              <w:rPr>
                <w:noProof/>
                <w:webHidden/>
              </w:rPr>
              <w:t>22</w:t>
            </w:r>
            <w:r w:rsidR="00CE221C">
              <w:rPr>
                <w:noProof/>
                <w:webHidden/>
              </w:rPr>
              <w:fldChar w:fldCharType="end"/>
            </w:r>
          </w:hyperlink>
        </w:p>
        <w:p w14:paraId="5AEA3DF6" w14:textId="77777777" w:rsidR="00CE221C" w:rsidRDefault="00940538">
          <w:pPr>
            <w:pStyle w:val="Sommario2"/>
            <w:rPr>
              <w:rFonts w:cstheme="minorBidi"/>
              <w:noProof/>
            </w:rPr>
          </w:pPr>
          <w:hyperlink w:anchor="_Toc103881190" w:history="1">
            <w:r w:rsidR="00CE221C" w:rsidRPr="00F05A4D">
              <w:rPr>
                <w:rStyle w:val="Collegamentoipertestuale"/>
                <w:noProof/>
              </w:rPr>
              <w:t>4.2</w:t>
            </w:r>
            <w:r w:rsidR="00CE221C">
              <w:rPr>
                <w:rFonts w:cstheme="minorBidi"/>
                <w:noProof/>
              </w:rPr>
              <w:tab/>
            </w:r>
            <w:r w:rsidR="00CE221C" w:rsidRPr="00F05A4D">
              <w:rPr>
                <w:rStyle w:val="Collegamentoipertestuale"/>
                <w:noProof/>
              </w:rPr>
              <w:t>Compilazione dell’unita scheda relativa alle Opere di grande infrastrutturazione: Elenco e stato di avanzamento delle opere avviate, costi di realizzazione con indicazione della relativa fonte.</w:t>
            </w:r>
            <w:r w:rsidR="00CE221C">
              <w:rPr>
                <w:noProof/>
                <w:webHidden/>
              </w:rPr>
              <w:tab/>
            </w:r>
            <w:r w:rsidR="00CE221C">
              <w:rPr>
                <w:noProof/>
                <w:webHidden/>
              </w:rPr>
              <w:fldChar w:fldCharType="begin"/>
            </w:r>
            <w:r w:rsidR="00CE221C">
              <w:rPr>
                <w:noProof/>
                <w:webHidden/>
              </w:rPr>
              <w:instrText xml:space="preserve"> PAGEREF _Toc103881190 \h </w:instrText>
            </w:r>
            <w:r w:rsidR="00CE221C">
              <w:rPr>
                <w:noProof/>
                <w:webHidden/>
              </w:rPr>
            </w:r>
            <w:r w:rsidR="00CE221C">
              <w:rPr>
                <w:noProof/>
                <w:webHidden/>
              </w:rPr>
              <w:fldChar w:fldCharType="separate"/>
            </w:r>
            <w:r w:rsidR="00CE221C">
              <w:rPr>
                <w:noProof/>
                <w:webHidden/>
              </w:rPr>
              <w:t>22</w:t>
            </w:r>
            <w:r w:rsidR="00CE221C">
              <w:rPr>
                <w:noProof/>
                <w:webHidden/>
              </w:rPr>
              <w:fldChar w:fldCharType="end"/>
            </w:r>
          </w:hyperlink>
        </w:p>
        <w:p w14:paraId="6757DFE8" w14:textId="77777777" w:rsidR="00CE221C" w:rsidRDefault="00940538">
          <w:pPr>
            <w:pStyle w:val="Sommario1"/>
            <w:rPr>
              <w:rFonts w:cstheme="minorBidi"/>
              <w:noProof/>
            </w:rPr>
          </w:pPr>
          <w:hyperlink w:anchor="_Toc103881191" w:history="1">
            <w:r w:rsidR="00CE221C" w:rsidRPr="00F05A4D">
              <w:rPr>
                <w:rStyle w:val="Collegamentoipertestuale"/>
                <w:b/>
                <w:bCs/>
                <w:noProof/>
              </w:rPr>
              <w:t>5.</w:t>
            </w:r>
            <w:r w:rsidR="00CE221C">
              <w:rPr>
                <w:rFonts w:cstheme="minorBidi"/>
                <w:noProof/>
              </w:rPr>
              <w:tab/>
            </w:r>
            <w:r w:rsidR="00CE221C" w:rsidRPr="00F05A4D">
              <w:rPr>
                <w:rStyle w:val="Collegamentoipertestuale"/>
                <w:b/>
                <w:bCs/>
                <w:noProof/>
              </w:rPr>
              <w:t>Gestione del demanio</w:t>
            </w:r>
            <w:r w:rsidR="00CE221C">
              <w:rPr>
                <w:noProof/>
                <w:webHidden/>
              </w:rPr>
              <w:tab/>
            </w:r>
            <w:r w:rsidR="00CE221C">
              <w:rPr>
                <w:noProof/>
                <w:webHidden/>
              </w:rPr>
              <w:fldChar w:fldCharType="begin"/>
            </w:r>
            <w:r w:rsidR="00CE221C">
              <w:rPr>
                <w:noProof/>
                <w:webHidden/>
              </w:rPr>
              <w:instrText xml:space="preserve"> PAGEREF _Toc103881191 \h </w:instrText>
            </w:r>
            <w:r w:rsidR="00CE221C">
              <w:rPr>
                <w:noProof/>
                <w:webHidden/>
              </w:rPr>
            </w:r>
            <w:r w:rsidR="00CE221C">
              <w:rPr>
                <w:noProof/>
                <w:webHidden/>
              </w:rPr>
              <w:fldChar w:fldCharType="separate"/>
            </w:r>
            <w:r w:rsidR="00CE221C">
              <w:rPr>
                <w:noProof/>
                <w:webHidden/>
              </w:rPr>
              <w:t>23</w:t>
            </w:r>
            <w:r w:rsidR="00CE221C">
              <w:rPr>
                <w:noProof/>
                <w:webHidden/>
              </w:rPr>
              <w:fldChar w:fldCharType="end"/>
            </w:r>
          </w:hyperlink>
        </w:p>
        <w:p w14:paraId="3135A372" w14:textId="77777777" w:rsidR="00CE221C" w:rsidRDefault="00940538">
          <w:pPr>
            <w:pStyle w:val="Sommario2"/>
            <w:rPr>
              <w:rFonts w:cstheme="minorBidi"/>
              <w:noProof/>
            </w:rPr>
          </w:pPr>
          <w:hyperlink w:anchor="_Toc103881192" w:history="1">
            <w:r w:rsidR="00CE221C" w:rsidRPr="00F05A4D">
              <w:rPr>
                <w:rStyle w:val="Collegamentoipertestuale"/>
                <w:noProof/>
              </w:rPr>
              <w:t>5.1</w:t>
            </w:r>
            <w:r w:rsidR="00CE221C">
              <w:rPr>
                <w:rFonts w:cstheme="minorBidi"/>
                <w:noProof/>
              </w:rPr>
              <w:tab/>
            </w:r>
            <w:r w:rsidR="00CE221C" w:rsidRPr="00F05A4D">
              <w:rPr>
                <w:rStyle w:val="Collegamentoipertestuale"/>
                <w:noProof/>
              </w:rPr>
              <w:t>Notizie in merito all’applicazione dell’articolo 199, comma 1, lett.a) del decreto legge n. 34/2020, conv. in legge n. 77/2020.</w:t>
            </w:r>
            <w:r w:rsidR="00CE221C">
              <w:rPr>
                <w:noProof/>
                <w:webHidden/>
              </w:rPr>
              <w:tab/>
            </w:r>
            <w:r w:rsidR="00CE221C">
              <w:rPr>
                <w:noProof/>
                <w:webHidden/>
              </w:rPr>
              <w:fldChar w:fldCharType="begin"/>
            </w:r>
            <w:r w:rsidR="00CE221C">
              <w:rPr>
                <w:noProof/>
                <w:webHidden/>
              </w:rPr>
              <w:instrText xml:space="preserve"> PAGEREF _Toc103881192 \h </w:instrText>
            </w:r>
            <w:r w:rsidR="00CE221C">
              <w:rPr>
                <w:noProof/>
                <w:webHidden/>
              </w:rPr>
            </w:r>
            <w:r w:rsidR="00CE221C">
              <w:rPr>
                <w:noProof/>
                <w:webHidden/>
              </w:rPr>
              <w:fldChar w:fldCharType="separate"/>
            </w:r>
            <w:r w:rsidR="00CE221C">
              <w:rPr>
                <w:noProof/>
                <w:webHidden/>
              </w:rPr>
              <w:t>23</w:t>
            </w:r>
            <w:r w:rsidR="00CE221C">
              <w:rPr>
                <w:noProof/>
                <w:webHidden/>
              </w:rPr>
              <w:fldChar w:fldCharType="end"/>
            </w:r>
          </w:hyperlink>
        </w:p>
        <w:p w14:paraId="71CC0FEC" w14:textId="77777777" w:rsidR="00CE221C" w:rsidRDefault="00940538">
          <w:pPr>
            <w:pStyle w:val="Sommario2"/>
            <w:rPr>
              <w:rFonts w:cstheme="minorBidi"/>
              <w:noProof/>
            </w:rPr>
          </w:pPr>
          <w:hyperlink w:anchor="_Toc103881193" w:history="1">
            <w:r w:rsidR="00CE221C" w:rsidRPr="00F05A4D">
              <w:rPr>
                <w:rStyle w:val="Collegamentoipertestuale"/>
                <w:noProof/>
              </w:rPr>
              <w:t>5.2</w:t>
            </w:r>
            <w:r w:rsidR="00CE221C">
              <w:rPr>
                <w:rFonts w:cstheme="minorBidi"/>
                <w:noProof/>
              </w:rPr>
              <w:tab/>
            </w:r>
            <w:r w:rsidR="00CE221C" w:rsidRPr="00F05A4D">
              <w:rPr>
                <w:rStyle w:val="Collegamentoipertestuale"/>
                <w:noProof/>
              </w:rPr>
              <w:t>Introiti per canoni, tempi di riscossione, ammontare canoni non riscossi e azioni di recupero per morosità.</w:t>
            </w:r>
            <w:r w:rsidR="00CE221C">
              <w:rPr>
                <w:noProof/>
                <w:webHidden/>
              </w:rPr>
              <w:tab/>
            </w:r>
            <w:r w:rsidR="00CE221C">
              <w:rPr>
                <w:noProof/>
                <w:webHidden/>
              </w:rPr>
              <w:fldChar w:fldCharType="begin"/>
            </w:r>
            <w:r w:rsidR="00CE221C">
              <w:rPr>
                <w:noProof/>
                <w:webHidden/>
              </w:rPr>
              <w:instrText xml:space="preserve"> PAGEREF _Toc103881193 \h </w:instrText>
            </w:r>
            <w:r w:rsidR="00CE221C">
              <w:rPr>
                <w:noProof/>
                <w:webHidden/>
              </w:rPr>
            </w:r>
            <w:r w:rsidR="00CE221C">
              <w:rPr>
                <w:noProof/>
                <w:webHidden/>
              </w:rPr>
              <w:fldChar w:fldCharType="separate"/>
            </w:r>
            <w:r w:rsidR="00CE221C">
              <w:rPr>
                <w:noProof/>
                <w:webHidden/>
              </w:rPr>
              <w:t>23</w:t>
            </w:r>
            <w:r w:rsidR="00CE221C">
              <w:rPr>
                <w:noProof/>
                <w:webHidden/>
              </w:rPr>
              <w:fldChar w:fldCharType="end"/>
            </w:r>
          </w:hyperlink>
        </w:p>
        <w:p w14:paraId="3C8BC3D3" w14:textId="77777777" w:rsidR="00CE221C" w:rsidRDefault="00940538">
          <w:pPr>
            <w:pStyle w:val="Sommario1"/>
            <w:rPr>
              <w:rFonts w:cstheme="minorBidi"/>
              <w:noProof/>
            </w:rPr>
          </w:pPr>
          <w:hyperlink w:anchor="_Toc103881194" w:history="1">
            <w:r w:rsidR="00CE221C" w:rsidRPr="00F05A4D">
              <w:rPr>
                <w:rStyle w:val="Collegamentoipertestuale"/>
                <w:b/>
                <w:bCs/>
                <w:noProof/>
              </w:rPr>
              <w:t>6.</w:t>
            </w:r>
            <w:r w:rsidR="00CE221C">
              <w:rPr>
                <w:rFonts w:cstheme="minorBidi"/>
                <w:noProof/>
              </w:rPr>
              <w:tab/>
            </w:r>
            <w:r w:rsidR="00CE221C" w:rsidRPr="00F05A4D">
              <w:rPr>
                <w:rStyle w:val="Collegamentoipertestuale"/>
                <w:b/>
                <w:bCs/>
                <w:noProof/>
              </w:rPr>
              <w:t>Tasse portuali</w:t>
            </w:r>
            <w:r w:rsidR="00CE221C">
              <w:rPr>
                <w:noProof/>
                <w:webHidden/>
              </w:rPr>
              <w:tab/>
            </w:r>
            <w:r w:rsidR="00CE221C">
              <w:rPr>
                <w:noProof/>
                <w:webHidden/>
              </w:rPr>
              <w:fldChar w:fldCharType="begin"/>
            </w:r>
            <w:r w:rsidR="00CE221C">
              <w:rPr>
                <w:noProof/>
                <w:webHidden/>
              </w:rPr>
              <w:instrText xml:space="preserve"> PAGEREF _Toc103881194 \h </w:instrText>
            </w:r>
            <w:r w:rsidR="00CE221C">
              <w:rPr>
                <w:noProof/>
                <w:webHidden/>
              </w:rPr>
            </w:r>
            <w:r w:rsidR="00CE221C">
              <w:rPr>
                <w:noProof/>
                <w:webHidden/>
              </w:rPr>
              <w:fldChar w:fldCharType="separate"/>
            </w:r>
            <w:r w:rsidR="00CE221C">
              <w:rPr>
                <w:noProof/>
                <w:webHidden/>
              </w:rPr>
              <w:t>25</w:t>
            </w:r>
            <w:r w:rsidR="00CE221C">
              <w:rPr>
                <w:noProof/>
                <w:webHidden/>
              </w:rPr>
              <w:fldChar w:fldCharType="end"/>
            </w:r>
          </w:hyperlink>
        </w:p>
        <w:p w14:paraId="58E44F7D" w14:textId="77777777" w:rsidR="00CE221C" w:rsidRDefault="00940538">
          <w:pPr>
            <w:pStyle w:val="Sommario2"/>
            <w:rPr>
              <w:rFonts w:cstheme="minorBidi"/>
              <w:noProof/>
            </w:rPr>
          </w:pPr>
          <w:hyperlink w:anchor="_Toc103881195" w:history="1">
            <w:r w:rsidR="00CE221C" w:rsidRPr="00F05A4D">
              <w:rPr>
                <w:rStyle w:val="Collegamentoipertestuale"/>
                <w:noProof/>
              </w:rPr>
              <w:t>6.1</w:t>
            </w:r>
            <w:r w:rsidR="00CE221C">
              <w:rPr>
                <w:rFonts w:cstheme="minorBidi"/>
                <w:noProof/>
              </w:rPr>
              <w:tab/>
            </w:r>
            <w:r w:rsidR="00CE221C" w:rsidRPr="00F05A4D">
              <w:rPr>
                <w:rStyle w:val="Collegamentoipertestuale"/>
                <w:noProof/>
              </w:rPr>
              <w:t>Compilazione dell’allegata tabella sulle entrate per tasse distinte tra tassa d’ancoraggio, tassa portuale e altre tasse o addizionali.</w:t>
            </w:r>
            <w:r w:rsidR="00CE221C">
              <w:rPr>
                <w:noProof/>
                <w:webHidden/>
              </w:rPr>
              <w:tab/>
            </w:r>
            <w:r w:rsidR="00CE221C">
              <w:rPr>
                <w:noProof/>
                <w:webHidden/>
              </w:rPr>
              <w:fldChar w:fldCharType="begin"/>
            </w:r>
            <w:r w:rsidR="00CE221C">
              <w:rPr>
                <w:noProof/>
                <w:webHidden/>
              </w:rPr>
              <w:instrText xml:space="preserve"> PAGEREF _Toc103881195 \h </w:instrText>
            </w:r>
            <w:r w:rsidR="00CE221C">
              <w:rPr>
                <w:noProof/>
                <w:webHidden/>
              </w:rPr>
            </w:r>
            <w:r w:rsidR="00CE221C">
              <w:rPr>
                <w:noProof/>
                <w:webHidden/>
              </w:rPr>
              <w:fldChar w:fldCharType="separate"/>
            </w:r>
            <w:r w:rsidR="00CE221C">
              <w:rPr>
                <w:noProof/>
                <w:webHidden/>
              </w:rPr>
              <w:t>25</w:t>
            </w:r>
            <w:r w:rsidR="00CE221C">
              <w:rPr>
                <w:noProof/>
                <w:webHidden/>
              </w:rPr>
              <w:fldChar w:fldCharType="end"/>
            </w:r>
          </w:hyperlink>
        </w:p>
        <w:p w14:paraId="3580DCCC" w14:textId="573C0ADA" w:rsidR="00E17F42" w:rsidRDefault="00E17F42" w:rsidP="0035359D">
          <w:pPr>
            <w:spacing w:line="360" w:lineRule="auto"/>
          </w:pPr>
          <w:r>
            <w:rPr>
              <w:b/>
              <w:bCs/>
            </w:rPr>
            <w:fldChar w:fldCharType="end"/>
          </w:r>
        </w:p>
      </w:sdtContent>
    </w:sdt>
    <w:p w14:paraId="1D65FF55" w14:textId="01FA5F5C" w:rsidR="00331B7B" w:rsidRDefault="00331B7B"/>
    <w:p w14:paraId="6D011959" w14:textId="77777777" w:rsidR="00331B7B" w:rsidRDefault="00331B7B"/>
    <w:p w14:paraId="5E365162" w14:textId="7268F16B" w:rsidR="00331B7B" w:rsidRDefault="00331B7B"/>
    <w:p w14:paraId="64DD05B9" w14:textId="77777777" w:rsidR="00331B7B" w:rsidRDefault="00331B7B"/>
    <w:p w14:paraId="0E318458" w14:textId="587D1505" w:rsidR="00331B7B" w:rsidRDefault="00331B7B"/>
    <w:p w14:paraId="1CAEDA4B" w14:textId="77777777" w:rsidR="00331B7B" w:rsidRDefault="00331B7B"/>
    <w:p w14:paraId="7AF93D2B" w14:textId="77777777" w:rsidR="00331B7B" w:rsidRDefault="00331B7B"/>
    <w:p w14:paraId="46AC973A" w14:textId="0CC81653" w:rsidR="00331B7B" w:rsidRDefault="00331B7B"/>
    <w:p w14:paraId="6632689B" w14:textId="162F55C7" w:rsidR="00331B7B" w:rsidRDefault="00331B7B"/>
    <w:p w14:paraId="36E3E8A9" w14:textId="6CA267D2" w:rsidR="00331B7B" w:rsidRDefault="00331B7B"/>
    <w:p w14:paraId="168D8874" w14:textId="5B3DDDBD" w:rsidR="00331B7B" w:rsidRPr="00331B7B" w:rsidRDefault="00331B7B" w:rsidP="00331B7B">
      <w:pPr>
        <w:jc w:val="center"/>
        <w:rPr>
          <w:b/>
          <w:sz w:val="28"/>
          <w:szCs w:val="28"/>
        </w:rPr>
      </w:pPr>
    </w:p>
    <w:p w14:paraId="62D54068" w14:textId="77777777" w:rsidR="003C286C" w:rsidRDefault="003C286C">
      <w:pPr>
        <w:sectPr w:rsidR="003C286C" w:rsidSect="006F5F60">
          <w:headerReference w:type="default" r:id="rId9"/>
          <w:footerReference w:type="default" r:id="rId10"/>
          <w:footerReference w:type="first" r:id="rId11"/>
          <w:pgSz w:w="11906" w:h="16838"/>
          <w:pgMar w:top="1417" w:right="1134" w:bottom="1134" w:left="1134" w:header="708" w:footer="708" w:gutter="0"/>
          <w:pgNumType w:start="0"/>
          <w:cols w:space="708"/>
          <w:titlePg/>
          <w:docGrid w:linePitch="360"/>
        </w:sectPr>
      </w:pPr>
    </w:p>
    <w:p w14:paraId="0B538512" w14:textId="77777777" w:rsidR="00331B7B" w:rsidRPr="00F8380B" w:rsidRDefault="00331B7B" w:rsidP="002D4276">
      <w:pPr>
        <w:pStyle w:val="Titolo1"/>
        <w:numPr>
          <w:ilvl w:val="0"/>
          <w:numId w:val="9"/>
        </w:numPr>
        <w:rPr>
          <w:b/>
        </w:rPr>
      </w:pPr>
      <w:bookmarkStart w:id="1" w:name="_Toc103881168"/>
      <w:r w:rsidRPr="00F8380B">
        <w:rPr>
          <w:b/>
        </w:rPr>
        <w:lastRenderedPageBreak/>
        <w:t>Aspetti organizzativi</w:t>
      </w:r>
      <w:bookmarkEnd w:id="1"/>
    </w:p>
    <w:p w14:paraId="1E24C687" w14:textId="08049595" w:rsidR="00331B7B" w:rsidRPr="00F8380B" w:rsidRDefault="00331B7B" w:rsidP="002D4276">
      <w:pPr>
        <w:pStyle w:val="Titolo2"/>
        <w:numPr>
          <w:ilvl w:val="1"/>
          <w:numId w:val="9"/>
        </w:numPr>
        <w:rPr>
          <w:b/>
        </w:rPr>
      </w:pPr>
      <w:bookmarkStart w:id="2" w:name="_Toc103881169"/>
      <w:r w:rsidRPr="00F8380B">
        <w:rPr>
          <w:u w:val="single"/>
        </w:rPr>
        <w:t>Notizie di carattere generale con particolare riferimento alla riorganizzazione della struttura organizzativa in ottemperanza delle disposizioni sul lavoro in smart-working e gli eventuali costi sostenuti.</w:t>
      </w:r>
      <w:bookmarkEnd w:id="2"/>
    </w:p>
    <w:p w14:paraId="264B3C57" w14:textId="77777777" w:rsidR="008A6FA0" w:rsidRDefault="008A6FA0" w:rsidP="00331B7B">
      <w:pPr>
        <w:jc w:val="both"/>
      </w:pPr>
    </w:p>
    <w:p w14:paraId="03E0EB5C" w14:textId="77777777" w:rsidR="00331B7B" w:rsidRDefault="00331B7B" w:rsidP="00331B7B">
      <w:pPr>
        <w:jc w:val="both"/>
      </w:pPr>
      <w:r>
        <w:t>Per lo svolgimento dei compiti istituzionali, l’AdSP si avvale della segreteria tecnico-operativa di cui all’art. 10 della L. 84/1994.</w:t>
      </w:r>
    </w:p>
    <w:p w14:paraId="48D2920E" w14:textId="77777777" w:rsidR="004A3E77" w:rsidRDefault="004A3E77" w:rsidP="004A3E77">
      <w:pPr>
        <w:jc w:val="both"/>
      </w:pPr>
      <w:r>
        <w:t xml:space="preserve">Tenuto conto della Riforma dei Porti, che ha modificato la competenze dell’Ente e, di conseguenza, l’approccio strategico da questo adottato introducendo nuovi compiti nonché l’inclusione del Porto di Chioggia nell’ambito territoriale di competenza e delle nuove linee strategiche dettate a livello nazionale e internazionale poi declinate anche nel Piano Operativo Triennale 2022-2024, l’Autorità di Sistema Portuale del Mare Adriatico Settentrionale nel 2021 ha avviato un percorso organizzativo sia in termini quantitativi che qualitativi. </w:t>
      </w:r>
    </w:p>
    <w:p w14:paraId="5139FC53" w14:textId="77777777" w:rsidR="004A3E77" w:rsidRDefault="004A3E77" w:rsidP="004A3E77">
      <w:pPr>
        <w:jc w:val="both"/>
      </w:pPr>
      <w:r>
        <w:t>L’adeguamento della pianta organica e la necessità quindi di rafforzare le unità organizzative sono volte allo sviluppo infrastrutturale e digitale e alle azioni che l’Ente ha posto in essere finalizzate ad uno sviluppo di lungo periodo del sistema portuale veneto, alla luce delle sfide poste dai cambiamenti climatici, ma anche da altre variabili di contesto naturale, sociale ed economico sia afferenti al livello globale che territoriale locale.</w:t>
      </w:r>
    </w:p>
    <w:p w14:paraId="3891E2CE" w14:textId="77777777" w:rsidR="004A3E77" w:rsidRDefault="004A3E77" w:rsidP="004A3E77">
      <w:pPr>
        <w:jc w:val="both"/>
      </w:pPr>
      <w:r>
        <w:t xml:space="preserve">Il progetto di adeguamento della pianta organica riguarda soprattutto il rafforzamento dello Staff di Autorità con l’assunzione di personale qualificato in possesso di competenze e conoscenze coerenti con le strategie di sviluppo dell’Ente al fine di potenziare le strutture maggiormente coinvolte nella gestione delle attività di sviluppo previste nel Piano Operativo Triennale 2022-2024. </w:t>
      </w:r>
    </w:p>
    <w:p w14:paraId="4FB6CCD4" w14:textId="77777777" w:rsidR="004A3E77" w:rsidRDefault="004A3E77" w:rsidP="004A3E77">
      <w:pPr>
        <w:jc w:val="both"/>
      </w:pPr>
      <w:r>
        <w:t>Tale azione ha come obiettivo quello di rafforzare le competenze e le funzioni ai fini dello sviluppo delle infrastrutture portuali, dell’innovazione e trasformazione digitale, della definizione del nuovo assetto pianificatorio dell’ambito portuale e del nuovo assetto organizzativo della stessa Autorità, nonché le funzioni relative a monitoraggio e analisi del lavoro e delle operazioni portuali.</w:t>
      </w:r>
    </w:p>
    <w:p w14:paraId="32DCD29C" w14:textId="77777777" w:rsidR="004A3E77" w:rsidRDefault="004A3E77" w:rsidP="004A3E77">
      <w:pPr>
        <w:jc w:val="both"/>
      </w:pPr>
      <w:r>
        <w:t>Tale intervento (inserimento di n. 7 nuove figure professionali, di cui una dirigenziale) è il primo step di un progetto organizzativo volto a definire una nuova Struttura organizzativa efficace ed efficiente in termini di competenze, risorse e funzioni, oltre che sostenibile e coerente con gli obiettivi strategici e le nuove sfide del mercato, tra cui le attività di innovazione e trasformazione digitale dell’Ente e del Sistema porto in generale.</w:t>
      </w:r>
    </w:p>
    <w:p w14:paraId="66B1D261" w14:textId="222E7FD1" w:rsidR="00331B7B" w:rsidRDefault="004A3E77" w:rsidP="004A3E77">
      <w:pPr>
        <w:jc w:val="both"/>
      </w:pPr>
      <w:r>
        <w:t>Di seguito si riportano la pianta organica (Tab. 1), deliberata dal Comitato di Gestione n. 14 nella seduta del 12 novembre 2021 e approvata dal Ministero delle Infrastrutture e della Mobilità con Nota prot. 34588 del 19 novembre 2021- e la consistenza effettiva del personale dipendente (Tab. 2).</w:t>
      </w:r>
      <w:r w:rsidR="00331B7B">
        <w:t xml:space="preserve"> </w:t>
      </w:r>
    </w:p>
    <w:p w14:paraId="4EE0C8A6" w14:textId="1A659B0A" w:rsidR="00331B7B" w:rsidRDefault="00A549AF" w:rsidP="00331B7B">
      <w:pPr>
        <w:jc w:val="both"/>
      </w:pPr>
      <w:r>
        <w:rPr>
          <w:noProof/>
          <w:lang w:eastAsia="it-IT"/>
        </w:rPr>
        <mc:AlternateContent>
          <mc:Choice Requires="wps">
            <w:drawing>
              <wp:anchor distT="0" distB="0" distL="114300" distR="114300" simplePos="0" relativeHeight="251661312" behindDoc="0" locked="0" layoutInCell="1" allowOverlap="1" wp14:anchorId="46F980AF" wp14:editId="2167ED8A">
                <wp:simplePos x="0" y="0"/>
                <wp:positionH relativeFrom="column">
                  <wp:posOffset>-6541</wp:posOffset>
                </wp:positionH>
                <wp:positionV relativeFrom="paragraph">
                  <wp:posOffset>1256155</wp:posOffset>
                </wp:positionV>
                <wp:extent cx="6152379" cy="253706"/>
                <wp:effectExtent l="0" t="0" r="20320" b="13335"/>
                <wp:wrapNone/>
                <wp:docPr id="7" name="Casella di testo 7"/>
                <wp:cNvGraphicFramePr/>
                <a:graphic xmlns:a="http://schemas.openxmlformats.org/drawingml/2006/main">
                  <a:graphicData uri="http://schemas.microsoft.com/office/word/2010/wordprocessingShape">
                    <wps:wsp>
                      <wps:cNvSpPr txBox="1"/>
                      <wps:spPr>
                        <a:xfrm>
                          <a:off x="0" y="0"/>
                          <a:ext cx="6152379" cy="25370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47484F0" w14:textId="434CC7A4" w:rsidR="00786640" w:rsidRPr="008A6FA0" w:rsidRDefault="00786640" w:rsidP="008A6FA0">
                            <w:pPr>
                              <w:jc w:val="center"/>
                              <w:rPr>
                                <w:sz w:val="16"/>
                                <w:szCs w:val="16"/>
                              </w:rPr>
                            </w:pPr>
                            <w:r w:rsidRPr="008A6FA0">
                              <w:rPr>
                                <w:sz w:val="16"/>
                                <w:szCs w:val="16"/>
                              </w:rPr>
                              <w:t>Tab. 1: Pianta Organica dell’Autorità di Sistema Portuale del Mar Adriatico Settentrionale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46F980AF" id="_x0000_t202" coordsize="21600,21600" o:spt="202" path="m,l,21600r21600,l21600,xe">
                <v:stroke joinstyle="miter"/>
                <v:path gradientshapeok="t" o:connecttype="rect"/>
              </v:shapetype>
              <v:shape id="Casella di testo 7" o:spid="_x0000_s1026" type="#_x0000_t202" style="position:absolute;left:0;text-align:left;margin-left:-.5pt;margin-top:98.9pt;width:484.45pt;height:20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" fillcolor="white [3201]" strokeweight=".5pt">
                <v:textbox>
                  <w:txbxContent>
                    <w:p w14:paraId="347484F0" w14:textId="434CC7A4" w:rsidR="00786640" w:rsidRPr="008A6FA0" w:rsidRDefault="00786640" w:rsidP="008A6FA0">
                      <w:pPr>
                        <w:jc w:val="center"/>
                        <w:rPr>
                          <w:sz w:val="16"/>
                          <w:szCs w:val="16"/>
                        </w:rPr>
                      </w:pPr>
                      <w:r w:rsidRPr="008A6FA0">
                        <w:rPr>
                          <w:sz w:val="16"/>
                          <w:szCs w:val="16"/>
                        </w:rPr>
                        <w:t>Tab. 1: Pianta Organica dell’Autorità di Sistema Portuale del Mar Adriatico Settentrionale</w:t>
                      </w:r>
                    </w:p>
                  </w:txbxContent>
                </v:textbox>
              </v:shape>
            </w:pict>
          </mc:Fallback>
        </mc:AlternateContent>
      </w:r>
      <w:r w:rsidR="00331B7B">
        <w:t>La nuova pianta organica di totali n. 99 unità, escluso il Segretario Generale, risulta così composta:</w:t>
      </w:r>
    </w:p>
    <w:tbl>
      <w:tblPr>
        <w:tblW w:w="969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73"/>
        <w:gridCol w:w="707"/>
        <w:gridCol w:w="849"/>
        <w:gridCol w:w="990"/>
        <w:gridCol w:w="1131"/>
        <w:gridCol w:w="1131"/>
        <w:gridCol w:w="1131"/>
        <w:gridCol w:w="1131"/>
        <w:gridCol w:w="848"/>
      </w:tblGrid>
      <w:tr w:rsidR="00331B7B" w:rsidRPr="001C0B79" w14:paraId="7205E509" w14:textId="77777777" w:rsidTr="00331B7B">
        <w:trPr>
          <w:trHeight w:val="379"/>
        </w:trPr>
        <w:tc>
          <w:tcPr>
            <w:tcW w:w="1773" w:type="dxa"/>
            <w:shd w:val="clear" w:color="auto" w:fill="D0CECE"/>
            <w:vAlign w:val="bottom"/>
          </w:tcPr>
          <w:p w14:paraId="207E7A59" w14:textId="77777777" w:rsidR="00331B7B" w:rsidRPr="001C0B79" w:rsidRDefault="00331B7B" w:rsidP="006F5F60">
            <w:pPr>
              <w:snapToGrid w:val="0"/>
              <w:rPr>
                <w:rFonts w:ascii="Calibri" w:hAnsi="Calibri"/>
                <w:b/>
                <w:color w:val="2E74B5"/>
                <w:sz w:val="18"/>
                <w:szCs w:val="18"/>
              </w:rPr>
            </w:pPr>
          </w:p>
        </w:tc>
        <w:tc>
          <w:tcPr>
            <w:tcW w:w="707" w:type="dxa"/>
            <w:shd w:val="clear" w:color="auto" w:fill="D0CECE"/>
          </w:tcPr>
          <w:p w14:paraId="2F286D58" w14:textId="77777777" w:rsidR="00331B7B" w:rsidRPr="00331B7B" w:rsidRDefault="00331B7B" w:rsidP="006F5F60">
            <w:pPr>
              <w:snapToGrid w:val="0"/>
              <w:jc w:val="center"/>
              <w:rPr>
                <w:rFonts w:ascii="Calibri" w:hAnsi="Calibri"/>
                <w:b/>
                <w:bCs/>
                <w:color w:val="000000" w:themeColor="text1"/>
                <w:sz w:val="18"/>
                <w:szCs w:val="18"/>
              </w:rPr>
            </w:pPr>
            <w:r w:rsidRPr="00331B7B">
              <w:rPr>
                <w:rFonts w:ascii="Calibri" w:hAnsi="Calibri"/>
                <w:b/>
                <w:bCs/>
                <w:color w:val="000000" w:themeColor="text1"/>
                <w:sz w:val="18"/>
                <w:szCs w:val="18"/>
              </w:rPr>
              <w:t>Dirig.</w:t>
            </w:r>
          </w:p>
        </w:tc>
        <w:tc>
          <w:tcPr>
            <w:tcW w:w="849" w:type="dxa"/>
            <w:shd w:val="clear" w:color="auto" w:fill="D0CECE"/>
          </w:tcPr>
          <w:p w14:paraId="3CF7879C" w14:textId="77777777" w:rsidR="00331B7B" w:rsidRPr="00331B7B" w:rsidRDefault="00331B7B" w:rsidP="006F5F60">
            <w:pPr>
              <w:snapToGrid w:val="0"/>
              <w:jc w:val="center"/>
              <w:rPr>
                <w:rFonts w:ascii="Calibri" w:hAnsi="Calibri"/>
                <w:b/>
                <w:bCs/>
                <w:color w:val="000000" w:themeColor="text1"/>
                <w:sz w:val="18"/>
                <w:szCs w:val="18"/>
              </w:rPr>
            </w:pPr>
            <w:r w:rsidRPr="00331B7B">
              <w:rPr>
                <w:rFonts w:ascii="Calibri" w:hAnsi="Calibri"/>
                <w:b/>
                <w:bCs/>
                <w:color w:val="000000" w:themeColor="text1"/>
                <w:sz w:val="18"/>
                <w:szCs w:val="18"/>
              </w:rPr>
              <w:t>Quadri A</w:t>
            </w:r>
          </w:p>
        </w:tc>
        <w:tc>
          <w:tcPr>
            <w:tcW w:w="990" w:type="dxa"/>
            <w:shd w:val="clear" w:color="auto" w:fill="D0CECE"/>
          </w:tcPr>
          <w:p w14:paraId="7F1A3FD0" w14:textId="77777777" w:rsidR="00331B7B" w:rsidRPr="00331B7B" w:rsidRDefault="00331B7B" w:rsidP="006F5F60">
            <w:pPr>
              <w:snapToGrid w:val="0"/>
              <w:jc w:val="center"/>
              <w:rPr>
                <w:rFonts w:ascii="Calibri" w:hAnsi="Calibri"/>
                <w:b/>
                <w:bCs/>
                <w:color w:val="000000" w:themeColor="text1"/>
                <w:sz w:val="18"/>
                <w:szCs w:val="18"/>
              </w:rPr>
            </w:pPr>
            <w:r w:rsidRPr="00331B7B">
              <w:rPr>
                <w:rFonts w:ascii="Calibri" w:hAnsi="Calibri"/>
                <w:b/>
                <w:bCs/>
                <w:color w:val="000000" w:themeColor="text1"/>
                <w:sz w:val="18"/>
                <w:szCs w:val="18"/>
              </w:rPr>
              <w:t>Quadri B</w:t>
            </w:r>
          </w:p>
        </w:tc>
        <w:tc>
          <w:tcPr>
            <w:tcW w:w="1131" w:type="dxa"/>
            <w:shd w:val="clear" w:color="auto" w:fill="D0CECE"/>
          </w:tcPr>
          <w:p w14:paraId="2D0F0E18" w14:textId="77777777" w:rsidR="00331B7B" w:rsidRPr="00331B7B" w:rsidRDefault="00331B7B" w:rsidP="006F5F60">
            <w:pPr>
              <w:snapToGrid w:val="0"/>
              <w:jc w:val="center"/>
              <w:rPr>
                <w:rFonts w:ascii="Calibri" w:hAnsi="Calibri"/>
                <w:b/>
                <w:bCs/>
                <w:color w:val="000000" w:themeColor="text1"/>
                <w:sz w:val="18"/>
                <w:szCs w:val="18"/>
              </w:rPr>
            </w:pPr>
            <w:r w:rsidRPr="00331B7B">
              <w:rPr>
                <w:rFonts w:ascii="Calibri" w:hAnsi="Calibri"/>
                <w:b/>
                <w:bCs/>
                <w:color w:val="000000" w:themeColor="text1"/>
                <w:sz w:val="18"/>
                <w:szCs w:val="18"/>
              </w:rPr>
              <w:t>Impiegati di 1° livello</w:t>
            </w:r>
          </w:p>
        </w:tc>
        <w:tc>
          <w:tcPr>
            <w:tcW w:w="1131" w:type="dxa"/>
            <w:shd w:val="clear" w:color="auto" w:fill="D0CECE"/>
          </w:tcPr>
          <w:p w14:paraId="359C6831" w14:textId="77777777" w:rsidR="00331B7B" w:rsidRPr="00331B7B" w:rsidRDefault="00331B7B" w:rsidP="006F5F60">
            <w:pPr>
              <w:snapToGrid w:val="0"/>
              <w:jc w:val="center"/>
              <w:rPr>
                <w:rFonts w:ascii="Calibri" w:hAnsi="Calibri"/>
                <w:b/>
                <w:bCs/>
                <w:color w:val="000000" w:themeColor="text1"/>
                <w:sz w:val="18"/>
                <w:szCs w:val="18"/>
              </w:rPr>
            </w:pPr>
            <w:r w:rsidRPr="00331B7B">
              <w:rPr>
                <w:rFonts w:ascii="Calibri" w:hAnsi="Calibri"/>
                <w:b/>
                <w:bCs/>
                <w:color w:val="000000" w:themeColor="text1"/>
                <w:sz w:val="18"/>
                <w:szCs w:val="18"/>
              </w:rPr>
              <w:t>Impiegati di 2° livello</w:t>
            </w:r>
          </w:p>
        </w:tc>
        <w:tc>
          <w:tcPr>
            <w:tcW w:w="1131" w:type="dxa"/>
            <w:shd w:val="clear" w:color="auto" w:fill="D0CECE"/>
          </w:tcPr>
          <w:p w14:paraId="4C55DF7D" w14:textId="77777777" w:rsidR="00331B7B" w:rsidRPr="00331B7B" w:rsidRDefault="00331B7B" w:rsidP="006F5F60">
            <w:pPr>
              <w:snapToGrid w:val="0"/>
              <w:jc w:val="center"/>
              <w:rPr>
                <w:rFonts w:ascii="Calibri" w:hAnsi="Calibri"/>
                <w:b/>
                <w:bCs/>
                <w:color w:val="000000" w:themeColor="text1"/>
                <w:sz w:val="18"/>
                <w:szCs w:val="18"/>
              </w:rPr>
            </w:pPr>
            <w:r w:rsidRPr="00331B7B">
              <w:rPr>
                <w:rFonts w:ascii="Calibri" w:hAnsi="Calibri"/>
                <w:b/>
                <w:bCs/>
                <w:color w:val="000000" w:themeColor="text1"/>
                <w:sz w:val="18"/>
                <w:szCs w:val="18"/>
              </w:rPr>
              <w:t>Impiegati di 3° livello</w:t>
            </w:r>
          </w:p>
        </w:tc>
        <w:tc>
          <w:tcPr>
            <w:tcW w:w="1131" w:type="dxa"/>
            <w:shd w:val="clear" w:color="auto" w:fill="D0CECE"/>
          </w:tcPr>
          <w:p w14:paraId="156BA763" w14:textId="77777777" w:rsidR="00331B7B" w:rsidRPr="00331B7B" w:rsidRDefault="00331B7B" w:rsidP="006F5F60">
            <w:pPr>
              <w:snapToGrid w:val="0"/>
              <w:jc w:val="center"/>
              <w:rPr>
                <w:rFonts w:ascii="Calibri" w:hAnsi="Calibri"/>
                <w:b/>
                <w:bCs/>
                <w:color w:val="000000" w:themeColor="text1"/>
                <w:sz w:val="18"/>
                <w:szCs w:val="18"/>
              </w:rPr>
            </w:pPr>
            <w:r w:rsidRPr="00331B7B">
              <w:rPr>
                <w:rFonts w:ascii="Calibri" w:hAnsi="Calibri"/>
                <w:b/>
                <w:bCs/>
                <w:color w:val="000000" w:themeColor="text1"/>
                <w:sz w:val="18"/>
                <w:szCs w:val="18"/>
              </w:rPr>
              <w:t>Impiegati di 4° livello</w:t>
            </w:r>
          </w:p>
        </w:tc>
        <w:tc>
          <w:tcPr>
            <w:tcW w:w="848" w:type="dxa"/>
            <w:shd w:val="clear" w:color="auto" w:fill="D0CECE"/>
          </w:tcPr>
          <w:p w14:paraId="5E0146CC" w14:textId="77777777" w:rsidR="00331B7B" w:rsidRPr="00331B7B" w:rsidRDefault="00331B7B" w:rsidP="006F5F60">
            <w:pPr>
              <w:snapToGrid w:val="0"/>
              <w:jc w:val="center"/>
              <w:rPr>
                <w:rFonts w:ascii="Calibri" w:hAnsi="Calibri"/>
                <w:b/>
                <w:bCs/>
                <w:color w:val="000000" w:themeColor="text1"/>
                <w:sz w:val="18"/>
                <w:szCs w:val="18"/>
              </w:rPr>
            </w:pPr>
            <w:r w:rsidRPr="00331B7B">
              <w:rPr>
                <w:rFonts w:ascii="Calibri" w:hAnsi="Calibri"/>
                <w:b/>
                <w:bCs/>
                <w:color w:val="000000" w:themeColor="text1"/>
                <w:sz w:val="18"/>
                <w:szCs w:val="18"/>
              </w:rPr>
              <w:t>Totale</w:t>
            </w:r>
          </w:p>
        </w:tc>
      </w:tr>
      <w:tr w:rsidR="00331B7B" w:rsidRPr="001C0B79" w14:paraId="29E8E937" w14:textId="77777777" w:rsidTr="00331B7B">
        <w:trPr>
          <w:trHeight w:val="789"/>
        </w:trPr>
        <w:tc>
          <w:tcPr>
            <w:tcW w:w="1773" w:type="dxa"/>
            <w:shd w:val="clear" w:color="auto" w:fill="E7E6E6"/>
          </w:tcPr>
          <w:p w14:paraId="67307DCF" w14:textId="77777777" w:rsidR="00331B7B" w:rsidRPr="005368CA" w:rsidRDefault="00331B7B" w:rsidP="006F5F60">
            <w:pPr>
              <w:snapToGrid w:val="0"/>
              <w:jc w:val="center"/>
              <w:rPr>
                <w:rFonts w:ascii="Calibri" w:hAnsi="Calibri"/>
                <w:b/>
                <w:bCs/>
                <w:color w:val="2E74B5"/>
                <w:sz w:val="18"/>
                <w:szCs w:val="18"/>
              </w:rPr>
            </w:pPr>
            <w:r w:rsidRPr="00331B7B">
              <w:rPr>
                <w:rFonts w:ascii="Calibri" w:hAnsi="Calibri"/>
                <w:b/>
                <w:bCs/>
                <w:color w:val="000000" w:themeColor="text1"/>
                <w:sz w:val="18"/>
                <w:szCs w:val="18"/>
              </w:rPr>
              <w:t>Personale della Segreteria Tecnico - Operativa</w:t>
            </w:r>
          </w:p>
        </w:tc>
        <w:tc>
          <w:tcPr>
            <w:tcW w:w="707" w:type="dxa"/>
            <w:shd w:val="clear" w:color="auto" w:fill="F2F2F2"/>
            <w:vAlign w:val="center"/>
          </w:tcPr>
          <w:p w14:paraId="4A574BA2" w14:textId="77777777" w:rsidR="00331B7B" w:rsidRPr="0059151E" w:rsidRDefault="00331B7B" w:rsidP="006F5F60">
            <w:pPr>
              <w:snapToGrid w:val="0"/>
              <w:jc w:val="center"/>
              <w:rPr>
                <w:rFonts w:ascii="Calibri" w:hAnsi="Calibri"/>
                <w:b/>
                <w:bCs/>
                <w:sz w:val="18"/>
                <w:szCs w:val="18"/>
              </w:rPr>
            </w:pPr>
            <w:r w:rsidRPr="0059151E">
              <w:rPr>
                <w:rFonts w:ascii="Calibri" w:hAnsi="Calibri"/>
                <w:b/>
                <w:bCs/>
                <w:sz w:val="18"/>
                <w:szCs w:val="18"/>
              </w:rPr>
              <w:t>6*</w:t>
            </w:r>
          </w:p>
        </w:tc>
        <w:tc>
          <w:tcPr>
            <w:tcW w:w="849" w:type="dxa"/>
            <w:shd w:val="clear" w:color="auto" w:fill="F2F2F2"/>
            <w:vAlign w:val="center"/>
          </w:tcPr>
          <w:p w14:paraId="11FD731A" w14:textId="77777777" w:rsidR="00331B7B" w:rsidRPr="0059151E" w:rsidRDefault="00331B7B" w:rsidP="006F5F60">
            <w:pPr>
              <w:snapToGrid w:val="0"/>
              <w:jc w:val="center"/>
              <w:rPr>
                <w:rFonts w:ascii="Calibri" w:hAnsi="Calibri"/>
                <w:b/>
                <w:bCs/>
                <w:sz w:val="18"/>
                <w:szCs w:val="18"/>
              </w:rPr>
            </w:pPr>
            <w:r w:rsidRPr="0059151E">
              <w:rPr>
                <w:rFonts w:ascii="Calibri" w:hAnsi="Calibri"/>
                <w:b/>
                <w:bCs/>
                <w:sz w:val="18"/>
                <w:szCs w:val="18"/>
              </w:rPr>
              <w:t>18</w:t>
            </w:r>
          </w:p>
        </w:tc>
        <w:tc>
          <w:tcPr>
            <w:tcW w:w="990" w:type="dxa"/>
            <w:shd w:val="clear" w:color="auto" w:fill="F2F2F2"/>
            <w:vAlign w:val="center"/>
          </w:tcPr>
          <w:p w14:paraId="4335597A" w14:textId="77777777" w:rsidR="00331B7B" w:rsidRPr="0059151E" w:rsidRDefault="00331B7B" w:rsidP="006F5F60">
            <w:pPr>
              <w:snapToGrid w:val="0"/>
              <w:jc w:val="center"/>
              <w:rPr>
                <w:rFonts w:ascii="Calibri" w:hAnsi="Calibri"/>
                <w:b/>
                <w:bCs/>
                <w:sz w:val="18"/>
                <w:szCs w:val="18"/>
              </w:rPr>
            </w:pPr>
            <w:r w:rsidRPr="0059151E">
              <w:rPr>
                <w:rFonts w:ascii="Calibri" w:hAnsi="Calibri"/>
                <w:b/>
                <w:bCs/>
                <w:sz w:val="18"/>
                <w:szCs w:val="18"/>
              </w:rPr>
              <w:t>13</w:t>
            </w:r>
          </w:p>
        </w:tc>
        <w:tc>
          <w:tcPr>
            <w:tcW w:w="1131" w:type="dxa"/>
            <w:shd w:val="clear" w:color="auto" w:fill="F2F2F2"/>
            <w:vAlign w:val="center"/>
          </w:tcPr>
          <w:p w14:paraId="70B67D87" w14:textId="77777777" w:rsidR="00331B7B" w:rsidRPr="0059151E" w:rsidRDefault="00331B7B" w:rsidP="006F5F60">
            <w:pPr>
              <w:snapToGrid w:val="0"/>
              <w:jc w:val="center"/>
              <w:rPr>
                <w:rFonts w:ascii="Calibri" w:hAnsi="Calibri"/>
                <w:b/>
                <w:bCs/>
                <w:sz w:val="18"/>
                <w:szCs w:val="18"/>
              </w:rPr>
            </w:pPr>
            <w:r w:rsidRPr="0059151E">
              <w:rPr>
                <w:rFonts w:ascii="Calibri" w:hAnsi="Calibri"/>
                <w:b/>
                <w:bCs/>
                <w:sz w:val="18"/>
                <w:szCs w:val="18"/>
              </w:rPr>
              <w:t>19</w:t>
            </w:r>
          </w:p>
        </w:tc>
        <w:tc>
          <w:tcPr>
            <w:tcW w:w="1131" w:type="dxa"/>
            <w:shd w:val="clear" w:color="auto" w:fill="F2F2F2"/>
            <w:vAlign w:val="center"/>
          </w:tcPr>
          <w:p w14:paraId="23FA8693" w14:textId="77777777" w:rsidR="00331B7B" w:rsidRPr="0059151E" w:rsidRDefault="00331B7B" w:rsidP="006F5F60">
            <w:pPr>
              <w:snapToGrid w:val="0"/>
              <w:jc w:val="center"/>
              <w:rPr>
                <w:rFonts w:ascii="Calibri" w:hAnsi="Calibri"/>
                <w:b/>
                <w:bCs/>
                <w:sz w:val="18"/>
                <w:szCs w:val="18"/>
              </w:rPr>
            </w:pPr>
            <w:r w:rsidRPr="0059151E">
              <w:rPr>
                <w:rFonts w:ascii="Calibri" w:hAnsi="Calibri"/>
                <w:b/>
                <w:bCs/>
                <w:sz w:val="18"/>
                <w:szCs w:val="18"/>
              </w:rPr>
              <w:t>25</w:t>
            </w:r>
          </w:p>
        </w:tc>
        <w:tc>
          <w:tcPr>
            <w:tcW w:w="1131" w:type="dxa"/>
            <w:shd w:val="clear" w:color="auto" w:fill="F2F2F2"/>
            <w:vAlign w:val="center"/>
          </w:tcPr>
          <w:p w14:paraId="5D0989D8" w14:textId="77777777" w:rsidR="00331B7B" w:rsidRPr="0059151E" w:rsidRDefault="00331B7B" w:rsidP="006F5F60">
            <w:pPr>
              <w:snapToGrid w:val="0"/>
              <w:jc w:val="center"/>
              <w:rPr>
                <w:rFonts w:ascii="Calibri" w:hAnsi="Calibri"/>
                <w:b/>
                <w:bCs/>
                <w:sz w:val="18"/>
                <w:szCs w:val="18"/>
              </w:rPr>
            </w:pPr>
            <w:r w:rsidRPr="0059151E">
              <w:rPr>
                <w:rFonts w:ascii="Calibri" w:hAnsi="Calibri"/>
                <w:b/>
                <w:bCs/>
                <w:sz w:val="18"/>
                <w:szCs w:val="18"/>
              </w:rPr>
              <w:t>12</w:t>
            </w:r>
          </w:p>
        </w:tc>
        <w:tc>
          <w:tcPr>
            <w:tcW w:w="1131" w:type="dxa"/>
            <w:shd w:val="clear" w:color="auto" w:fill="F2F2F2"/>
            <w:vAlign w:val="center"/>
          </w:tcPr>
          <w:p w14:paraId="51FA1882" w14:textId="77777777" w:rsidR="00331B7B" w:rsidRPr="0059151E" w:rsidRDefault="00331B7B" w:rsidP="006F5F60">
            <w:pPr>
              <w:snapToGrid w:val="0"/>
              <w:jc w:val="center"/>
              <w:rPr>
                <w:rFonts w:ascii="Calibri" w:hAnsi="Calibri"/>
                <w:b/>
                <w:bCs/>
                <w:sz w:val="18"/>
                <w:szCs w:val="18"/>
              </w:rPr>
            </w:pPr>
            <w:r w:rsidRPr="0059151E">
              <w:rPr>
                <w:rFonts w:ascii="Calibri" w:hAnsi="Calibri"/>
                <w:b/>
                <w:bCs/>
                <w:sz w:val="18"/>
                <w:szCs w:val="18"/>
              </w:rPr>
              <w:t>6</w:t>
            </w:r>
          </w:p>
        </w:tc>
        <w:tc>
          <w:tcPr>
            <w:tcW w:w="848" w:type="dxa"/>
            <w:shd w:val="clear" w:color="auto" w:fill="F2F2F2"/>
            <w:vAlign w:val="center"/>
          </w:tcPr>
          <w:p w14:paraId="028B026E" w14:textId="77777777" w:rsidR="00331B7B" w:rsidRPr="0059151E" w:rsidRDefault="00331B7B" w:rsidP="006F5F60">
            <w:pPr>
              <w:snapToGrid w:val="0"/>
              <w:jc w:val="center"/>
              <w:rPr>
                <w:rFonts w:ascii="Calibri" w:hAnsi="Calibri"/>
                <w:b/>
                <w:bCs/>
                <w:sz w:val="18"/>
                <w:szCs w:val="18"/>
              </w:rPr>
            </w:pPr>
            <w:r w:rsidRPr="0059151E">
              <w:rPr>
                <w:rFonts w:ascii="Calibri" w:hAnsi="Calibri"/>
                <w:b/>
                <w:bCs/>
                <w:sz w:val="18"/>
                <w:szCs w:val="18"/>
              </w:rPr>
              <w:t>99</w:t>
            </w:r>
          </w:p>
        </w:tc>
      </w:tr>
    </w:tbl>
    <w:p w14:paraId="67479FBF" w14:textId="77777777" w:rsidR="00331B7B" w:rsidRDefault="00331B7B" w:rsidP="00331B7B">
      <w:pPr>
        <w:jc w:val="both"/>
      </w:pPr>
    </w:p>
    <w:p w14:paraId="581E08AB" w14:textId="77777777" w:rsidR="00A549AF" w:rsidRDefault="00A549AF" w:rsidP="00331B7B">
      <w:pPr>
        <w:jc w:val="both"/>
      </w:pPr>
    </w:p>
    <w:p w14:paraId="41C85F24" w14:textId="77777777" w:rsidR="00331B7B" w:rsidRDefault="00331B7B" w:rsidP="00331B7B">
      <w:pPr>
        <w:jc w:val="both"/>
      </w:pPr>
      <w:r w:rsidRPr="00331B7B">
        <w:t>La copertura dell’organico effettivo al 31.12.2021 è pari a 84 unità escluso il Segretario Generale: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45"/>
        <w:gridCol w:w="1542"/>
        <w:gridCol w:w="1670"/>
      </w:tblGrid>
      <w:tr w:rsidR="00331B7B" w:rsidRPr="00331B7B" w14:paraId="4388192D" w14:textId="77777777" w:rsidTr="000F0620">
        <w:trPr>
          <w:trHeight w:val="199"/>
          <w:jc w:val="center"/>
        </w:trPr>
        <w:tc>
          <w:tcPr>
            <w:tcW w:w="1945" w:type="dxa"/>
            <w:shd w:val="clear" w:color="auto" w:fill="D0CECE"/>
            <w:vAlign w:val="bottom"/>
          </w:tcPr>
          <w:p w14:paraId="3EF6D27A" w14:textId="77777777" w:rsidR="00331B7B" w:rsidRPr="00331B7B" w:rsidRDefault="00331B7B" w:rsidP="006F5F60">
            <w:pPr>
              <w:autoSpaceDE w:val="0"/>
              <w:autoSpaceDN w:val="0"/>
              <w:adjustRightInd w:val="0"/>
              <w:jc w:val="center"/>
              <w:rPr>
                <w:rFonts w:ascii="Calibri" w:eastAsia="Calibri" w:hAnsi="Calibri" w:cs="Calibri"/>
                <w:b/>
                <w:bCs/>
                <w:color w:val="000000" w:themeColor="text1"/>
                <w:lang w:eastAsia="it-IT"/>
              </w:rPr>
            </w:pPr>
          </w:p>
          <w:p w14:paraId="1DF56977" w14:textId="6135879B" w:rsidR="00331B7B" w:rsidRPr="00331B7B" w:rsidRDefault="00331B7B" w:rsidP="00DE73AC">
            <w:pPr>
              <w:autoSpaceDE w:val="0"/>
              <w:autoSpaceDN w:val="0"/>
              <w:adjustRightInd w:val="0"/>
              <w:jc w:val="center"/>
              <w:rPr>
                <w:rFonts w:ascii="Calibri" w:eastAsia="Calibri" w:hAnsi="Calibri" w:cs="Calibri"/>
                <w:color w:val="000000" w:themeColor="text1"/>
                <w:lang w:eastAsia="it-IT"/>
              </w:rPr>
            </w:pPr>
            <w:r w:rsidRPr="00331B7B">
              <w:rPr>
                <w:rFonts w:ascii="Calibri" w:eastAsia="Calibri" w:hAnsi="Calibri" w:cs="Calibri"/>
                <w:b/>
                <w:bCs/>
                <w:color w:val="000000" w:themeColor="text1"/>
                <w:lang w:eastAsia="it-IT"/>
              </w:rPr>
              <w:t>Livello</w:t>
            </w:r>
          </w:p>
        </w:tc>
        <w:tc>
          <w:tcPr>
            <w:tcW w:w="1542" w:type="dxa"/>
            <w:shd w:val="clear" w:color="auto" w:fill="D0CECE"/>
          </w:tcPr>
          <w:p w14:paraId="6ADBB738" w14:textId="77777777" w:rsidR="00331B7B" w:rsidRPr="00331B7B" w:rsidRDefault="00331B7B" w:rsidP="006F5F60">
            <w:pPr>
              <w:autoSpaceDE w:val="0"/>
              <w:autoSpaceDN w:val="0"/>
              <w:adjustRightInd w:val="0"/>
              <w:jc w:val="center"/>
              <w:rPr>
                <w:rFonts w:ascii="Calibri" w:eastAsia="Calibri" w:hAnsi="Calibri" w:cs="Calibri"/>
                <w:color w:val="000000" w:themeColor="text1"/>
                <w:lang w:eastAsia="it-IT"/>
              </w:rPr>
            </w:pPr>
            <w:r w:rsidRPr="00331B7B">
              <w:rPr>
                <w:rFonts w:ascii="Calibri" w:eastAsia="Calibri" w:hAnsi="Calibri" w:cs="Calibri"/>
                <w:b/>
                <w:bCs/>
                <w:color w:val="000000" w:themeColor="text1"/>
                <w:lang w:eastAsia="it-IT"/>
              </w:rPr>
              <w:t>Pianta Organica approvata</w:t>
            </w:r>
          </w:p>
        </w:tc>
        <w:tc>
          <w:tcPr>
            <w:tcW w:w="1670" w:type="dxa"/>
            <w:shd w:val="clear" w:color="auto" w:fill="D0CECE"/>
          </w:tcPr>
          <w:p w14:paraId="0A10DA01" w14:textId="77777777" w:rsidR="00331B7B" w:rsidRPr="00331B7B" w:rsidRDefault="00331B7B" w:rsidP="006F5F60">
            <w:pPr>
              <w:autoSpaceDE w:val="0"/>
              <w:autoSpaceDN w:val="0"/>
              <w:adjustRightInd w:val="0"/>
              <w:jc w:val="center"/>
              <w:rPr>
                <w:rFonts w:ascii="Calibri" w:eastAsia="Calibri" w:hAnsi="Calibri" w:cs="Calibri"/>
                <w:b/>
                <w:bCs/>
                <w:color w:val="000000" w:themeColor="text1"/>
                <w:lang w:eastAsia="it-IT"/>
              </w:rPr>
            </w:pPr>
            <w:r w:rsidRPr="00331B7B">
              <w:rPr>
                <w:rFonts w:ascii="Calibri" w:eastAsia="Calibri" w:hAnsi="Calibri" w:cs="Calibri"/>
                <w:b/>
                <w:bCs/>
                <w:color w:val="000000" w:themeColor="text1"/>
                <w:lang w:eastAsia="it-IT"/>
              </w:rPr>
              <w:t>Copertura effettiva dell’organico</w:t>
            </w:r>
          </w:p>
        </w:tc>
      </w:tr>
      <w:tr w:rsidR="00331B7B" w:rsidRPr="00331B7B" w14:paraId="295F39E9" w14:textId="77777777" w:rsidTr="008A6FA0">
        <w:trPr>
          <w:trHeight w:val="111"/>
          <w:jc w:val="center"/>
        </w:trPr>
        <w:tc>
          <w:tcPr>
            <w:tcW w:w="1945" w:type="dxa"/>
            <w:shd w:val="clear" w:color="auto" w:fill="D0CECE"/>
          </w:tcPr>
          <w:p w14:paraId="573AB1C2" w14:textId="77777777" w:rsidR="00331B7B" w:rsidRPr="00331B7B" w:rsidRDefault="00331B7B" w:rsidP="006F5F60">
            <w:pPr>
              <w:autoSpaceDE w:val="0"/>
              <w:autoSpaceDN w:val="0"/>
              <w:adjustRightInd w:val="0"/>
              <w:rPr>
                <w:rFonts w:ascii="Calibri" w:eastAsia="Calibri" w:hAnsi="Calibri" w:cs="Calibri"/>
                <w:b/>
                <w:bCs/>
                <w:color w:val="000000" w:themeColor="text1"/>
                <w:lang w:eastAsia="it-IT"/>
              </w:rPr>
            </w:pPr>
            <w:r w:rsidRPr="00331B7B">
              <w:rPr>
                <w:rFonts w:ascii="Calibri" w:eastAsia="Calibri" w:hAnsi="Calibri" w:cs="Calibri"/>
                <w:b/>
                <w:bCs/>
                <w:color w:val="000000" w:themeColor="text1"/>
                <w:lang w:eastAsia="it-IT"/>
              </w:rPr>
              <w:t xml:space="preserve">Dirigenti </w:t>
            </w:r>
          </w:p>
        </w:tc>
        <w:tc>
          <w:tcPr>
            <w:tcW w:w="1542" w:type="dxa"/>
            <w:shd w:val="clear" w:color="auto" w:fill="E7E6E6"/>
          </w:tcPr>
          <w:p w14:paraId="01C23439" w14:textId="77777777" w:rsidR="00331B7B" w:rsidRPr="00331B7B" w:rsidRDefault="00331B7B" w:rsidP="006F5F60">
            <w:pPr>
              <w:autoSpaceDE w:val="0"/>
              <w:autoSpaceDN w:val="0"/>
              <w:adjustRightInd w:val="0"/>
              <w:jc w:val="center"/>
              <w:rPr>
                <w:rFonts w:ascii="Calibri" w:eastAsia="Calibri" w:hAnsi="Calibri" w:cs="Calibri"/>
                <w:bCs/>
                <w:color w:val="000000" w:themeColor="text1"/>
                <w:lang w:eastAsia="it-IT"/>
              </w:rPr>
            </w:pPr>
            <w:r w:rsidRPr="00331B7B">
              <w:rPr>
                <w:rFonts w:ascii="Calibri" w:eastAsia="Calibri" w:hAnsi="Calibri" w:cs="Calibri"/>
                <w:bCs/>
                <w:color w:val="000000" w:themeColor="text1"/>
                <w:lang w:eastAsia="it-IT"/>
              </w:rPr>
              <w:t>6*</w:t>
            </w:r>
          </w:p>
        </w:tc>
        <w:tc>
          <w:tcPr>
            <w:tcW w:w="1670" w:type="dxa"/>
            <w:shd w:val="clear" w:color="auto" w:fill="E7E6E6"/>
          </w:tcPr>
          <w:p w14:paraId="125A32E5" w14:textId="77777777" w:rsidR="00331B7B" w:rsidRPr="00331B7B" w:rsidRDefault="00331B7B" w:rsidP="006F5F60">
            <w:pPr>
              <w:autoSpaceDE w:val="0"/>
              <w:autoSpaceDN w:val="0"/>
              <w:adjustRightInd w:val="0"/>
              <w:jc w:val="center"/>
              <w:rPr>
                <w:rFonts w:ascii="Calibri" w:eastAsia="Calibri" w:hAnsi="Calibri" w:cs="Calibri"/>
                <w:bCs/>
                <w:color w:val="000000" w:themeColor="text1"/>
                <w:lang w:eastAsia="it-IT"/>
              </w:rPr>
            </w:pPr>
            <w:r w:rsidRPr="00331B7B">
              <w:rPr>
                <w:rFonts w:ascii="Calibri" w:eastAsia="Calibri" w:hAnsi="Calibri" w:cs="Calibri"/>
                <w:bCs/>
                <w:color w:val="000000" w:themeColor="text1"/>
                <w:lang w:eastAsia="it-IT"/>
              </w:rPr>
              <w:t>4</w:t>
            </w:r>
          </w:p>
        </w:tc>
      </w:tr>
      <w:tr w:rsidR="00331B7B" w:rsidRPr="00331B7B" w14:paraId="3C7294E7" w14:textId="77777777" w:rsidTr="008A6FA0">
        <w:trPr>
          <w:trHeight w:val="115"/>
          <w:jc w:val="center"/>
        </w:trPr>
        <w:tc>
          <w:tcPr>
            <w:tcW w:w="1945" w:type="dxa"/>
            <w:shd w:val="clear" w:color="auto" w:fill="D0CECE"/>
          </w:tcPr>
          <w:p w14:paraId="453D6B66" w14:textId="77777777" w:rsidR="00331B7B" w:rsidRPr="00331B7B" w:rsidRDefault="00331B7B" w:rsidP="006F5F60">
            <w:pPr>
              <w:autoSpaceDE w:val="0"/>
              <w:autoSpaceDN w:val="0"/>
              <w:adjustRightInd w:val="0"/>
              <w:rPr>
                <w:rFonts w:ascii="Calibri" w:eastAsia="Calibri" w:hAnsi="Calibri" w:cs="Calibri"/>
                <w:b/>
                <w:bCs/>
                <w:color w:val="000000" w:themeColor="text1"/>
                <w:lang w:eastAsia="it-IT"/>
              </w:rPr>
            </w:pPr>
            <w:r w:rsidRPr="00331B7B">
              <w:rPr>
                <w:rFonts w:ascii="Calibri" w:eastAsia="Calibri" w:hAnsi="Calibri" w:cs="Calibri"/>
                <w:b/>
                <w:bCs/>
                <w:color w:val="000000" w:themeColor="text1"/>
                <w:lang w:eastAsia="it-IT"/>
              </w:rPr>
              <w:t xml:space="preserve">Quadri A </w:t>
            </w:r>
          </w:p>
        </w:tc>
        <w:tc>
          <w:tcPr>
            <w:tcW w:w="1542" w:type="dxa"/>
            <w:shd w:val="clear" w:color="auto" w:fill="E7E6E6"/>
          </w:tcPr>
          <w:p w14:paraId="604DF408" w14:textId="77777777" w:rsidR="00331B7B" w:rsidRPr="00331B7B" w:rsidRDefault="00331B7B" w:rsidP="006F5F60">
            <w:pPr>
              <w:autoSpaceDE w:val="0"/>
              <w:autoSpaceDN w:val="0"/>
              <w:adjustRightInd w:val="0"/>
              <w:jc w:val="center"/>
              <w:rPr>
                <w:rFonts w:ascii="Calibri" w:eastAsia="Calibri" w:hAnsi="Calibri" w:cs="Calibri"/>
                <w:bCs/>
                <w:color w:val="000000" w:themeColor="text1"/>
                <w:lang w:eastAsia="it-IT"/>
              </w:rPr>
            </w:pPr>
            <w:r w:rsidRPr="00331B7B">
              <w:rPr>
                <w:rFonts w:ascii="Calibri" w:eastAsia="Calibri" w:hAnsi="Calibri" w:cs="Calibri"/>
                <w:bCs/>
                <w:color w:val="000000" w:themeColor="text1"/>
                <w:lang w:eastAsia="it-IT"/>
              </w:rPr>
              <w:t>18</w:t>
            </w:r>
          </w:p>
        </w:tc>
        <w:tc>
          <w:tcPr>
            <w:tcW w:w="1670" w:type="dxa"/>
            <w:shd w:val="clear" w:color="auto" w:fill="E7E6E6"/>
          </w:tcPr>
          <w:p w14:paraId="2997B7CA" w14:textId="77777777" w:rsidR="00331B7B" w:rsidRPr="00331B7B" w:rsidRDefault="00331B7B" w:rsidP="006F5F60">
            <w:pPr>
              <w:autoSpaceDE w:val="0"/>
              <w:autoSpaceDN w:val="0"/>
              <w:adjustRightInd w:val="0"/>
              <w:jc w:val="center"/>
              <w:rPr>
                <w:rFonts w:ascii="Calibri" w:eastAsia="Calibri" w:hAnsi="Calibri" w:cs="Calibri"/>
                <w:bCs/>
                <w:color w:val="000000" w:themeColor="text1"/>
                <w:lang w:eastAsia="it-IT"/>
              </w:rPr>
            </w:pPr>
            <w:r w:rsidRPr="00331B7B">
              <w:rPr>
                <w:rFonts w:ascii="Calibri" w:eastAsia="Calibri" w:hAnsi="Calibri" w:cs="Calibri"/>
                <w:bCs/>
                <w:color w:val="000000" w:themeColor="text1"/>
                <w:lang w:eastAsia="it-IT"/>
              </w:rPr>
              <w:t>12</w:t>
            </w:r>
          </w:p>
        </w:tc>
      </w:tr>
      <w:tr w:rsidR="00331B7B" w:rsidRPr="00331B7B" w14:paraId="7AF56B1B" w14:textId="77777777" w:rsidTr="008A6FA0">
        <w:trPr>
          <w:trHeight w:val="111"/>
          <w:jc w:val="center"/>
        </w:trPr>
        <w:tc>
          <w:tcPr>
            <w:tcW w:w="1945" w:type="dxa"/>
            <w:shd w:val="clear" w:color="auto" w:fill="D0CECE"/>
          </w:tcPr>
          <w:p w14:paraId="12C73790" w14:textId="77777777" w:rsidR="00331B7B" w:rsidRPr="00331B7B" w:rsidRDefault="00331B7B" w:rsidP="006F5F60">
            <w:pPr>
              <w:autoSpaceDE w:val="0"/>
              <w:autoSpaceDN w:val="0"/>
              <w:adjustRightInd w:val="0"/>
              <w:rPr>
                <w:rFonts w:ascii="Calibri" w:eastAsia="Calibri" w:hAnsi="Calibri" w:cs="Calibri"/>
                <w:b/>
                <w:bCs/>
                <w:color w:val="000000" w:themeColor="text1"/>
                <w:lang w:eastAsia="it-IT"/>
              </w:rPr>
            </w:pPr>
            <w:r w:rsidRPr="00331B7B">
              <w:rPr>
                <w:rFonts w:ascii="Calibri" w:eastAsia="Calibri" w:hAnsi="Calibri" w:cs="Calibri"/>
                <w:b/>
                <w:bCs/>
                <w:color w:val="000000" w:themeColor="text1"/>
                <w:lang w:eastAsia="it-IT"/>
              </w:rPr>
              <w:t xml:space="preserve">Quadri B </w:t>
            </w:r>
          </w:p>
        </w:tc>
        <w:tc>
          <w:tcPr>
            <w:tcW w:w="1542" w:type="dxa"/>
            <w:shd w:val="clear" w:color="auto" w:fill="E7E6E6"/>
          </w:tcPr>
          <w:p w14:paraId="7FAB5A63" w14:textId="77777777" w:rsidR="00331B7B" w:rsidRPr="00331B7B" w:rsidRDefault="00331B7B" w:rsidP="006F5F60">
            <w:pPr>
              <w:autoSpaceDE w:val="0"/>
              <w:autoSpaceDN w:val="0"/>
              <w:adjustRightInd w:val="0"/>
              <w:jc w:val="center"/>
              <w:rPr>
                <w:rFonts w:ascii="Calibri" w:eastAsia="Calibri" w:hAnsi="Calibri" w:cs="Calibri"/>
                <w:bCs/>
                <w:color w:val="000000" w:themeColor="text1"/>
                <w:lang w:eastAsia="it-IT"/>
              </w:rPr>
            </w:pPr>
            <w:r w:rsidRPr="00331B7B">
              <w:rPr>
                <w:rFonts w:ascii="Calibri" w:eastAsia="Calibri" w:hAnsi="Calibri" w:cs="Calibri"/>
                <w:bCs/>
                <w:color w:val="000000" w:themeColor="text1"/>
                <w:lang w:eastAsia="it-IT"/>
              </w:rPr>
              <w:t>13</w:t>
            </w:r>
          </w:p>
        </w:tc>
        <w:tc>
          <w:tcPr>
            <w:tcW w:w="1670" w:type="dxa"/>
            <w:shd w:val="clear" w:color="auto" w:fill="E7E6E6"/>
          </w:tcPr>
          <w:p w14:paraId="6BB78851" w14:textId="77777777" w:rsidR="00331B7B" w:rsidRPr="00331B7B" w:rsidRDefault="00331B7B" w:rsidP="006F5F60">
            <w:pPr>
              <w:autoSpaceDE w:val="0"/>
              <w:autoSpaceDN w:val="0"/>
              <w:adjustRightInd w:val="0"/>
              <w:jc w:val="center"/>
              <w:rPr>
                <w:rFonts w:ascii="Calibri" w:eastAsia="Calibri" w:hAnsi="Calibri" w:cs="Calibri"/>
                <w:bCs/>
                <w:color w:val="000000" w:themeColor="text1"/>
                <w:lang w:eastAsia="it-IT"/>
              </w:rPr>
            </w:pPr>
            <w:r w:rsidRPr="00331B7B">
              <w:rPr>
                <w:rFonts w:ascii="Calibri" w:eastAsia="Calibri" w:hAnsi="Calibri" w:cs="Calibri"/>
                <w:bCs/>
                <w:color w:val="000000" w:themeColor="text1"/>
                <w:lang w:eastAsia="it-IT"/>
              </w:rPr>
              <w:t>12</w:t>
            </w:r>
          </w:p>
        </w:tc>
      </w:tr>
      <w:tr w:rsidR="00331B7B" w:rsidRPr="00331B7B" w14:paraId="5F7EB016" w14:textId="77777777" w:rsidTr="008A6FA0">
        <w:trPr>
          <w:trHeight w:val="115"/>
          <w:jc w:val="center"/>
        </w:trPr>
        <w:tc>
          <w:tcPr>
            <w:tcW w:w="1945" w:type="dxa"/>
            <w:shd w:val="clear" w:color="auto" w:fill="D0CECE"/>
          </w:tcPr>
          <w:p w14:paraId="341AE95D" w14:textId="77777777" w:rsidR="00331B7B" w:rsidRPr="00331B7B" w:rsidRDefault="00331B7B" w:rsidP="006F5F60">
            <w:pPr>
              <w:autoSpaceDE w:val="0"/>
              <w:autoSpaceDN w:val="0"/>
              <w:adjustRightInd w:val="0"/>
              <w:rPr>
                <w:rFonts w:ascii="Calibri" w:eastAsia="Calibri" w:hAnsi="Calibri" w:cs="Calibri"/>
                <w:b/>
                <w:bCs/>
                <w:color w:val="000000" w:themeColor="text1"/>
                <w:lang w:eastAsia="it-IT"/>
              </w:rPr>
            </w:pPr>
            <w:r w:rsidRPr="00331B7B">
              <w:rPr>
                <w:rFonts w:ascii="Calibri" w:eastAsia="Calibri" w:hAnsi="Calibri" w:cs="Calibri"/>
                <w:b/>
                <w:bCs/>
                <w:color w:val="000000" w:themeColor="text1"/>
                <w:lang w:eastAsia="it-IT"/>
              </w:rPr>
              <w:t xml:space="preserve">Impiegato 1° liv. </w:t>
            </w:r>
          </w:p>
        </w:tc>
        <w:tc>
          <w:tcPr>
            <w:tcW w:w="1542" w:type="dxa"/>
            <w:shd w:val="clear" w:color="auto" w:fill="E7E6E6"/>
          </w:tcPr>
          <w:p w14:paraId="077766B0" w14:textId="77777777" w:rsidR="00331B7B" w:rsidRPr="00331B7B" w:rsidRDefault="00331B7B" w:rsidP="006F5F60">
            <w:pPr>
              <w:autoSpaceDE w:val="0"/>
              <w:autoSpaceDN w:val="0"/>
              <w:adjustRightInd w:val="0"/>
              <w:jc w:val="center"/>
              <w:rPr>
                <w:rFonts w:ascii="Calibri" w:eastAsia="Calibri" w:hAnsi="Calibri" w:cs="Calibri"/>
                <w:bCs/>
                <w:color w:val="000000" w:themeColor="text1"/>
                <w:lang w:eastAsia="it-IT"/>
              </w:rPr>
            </w:pPr>
            <w:r w:rsidRPr="00331B7B">
              <w:rPr>
                <w:rFonts w:ascii="Calibri" w:eastAsia="Calibri" w:hAnsi="Calibri" w:cs="Calibri"/>
                <w:bCs/>
                <w:color w:val="000000" w:themeColor="text1"/>
                <w:lang w:eastAsia="it-IT"/>
              </w:rPr>
              <w:t>19</w:t>
            </w:r>
          </w:p>
        </w:tc>
        <w:tc>
          <w:tcPr>
            <w:tcW w:w="1670" w:type="dxa"/>
            <w:shd w:val="clear" w:color="auto" w:fill="E7E6E6"/>
          </w:tcPr>
          <w:p w14:paraId="0AAB0F82" w14:textId="77777777" w:rsidR="00331B7B" w:rsidRPr="00331B7B" w:rsidRDefault="00331B7B" w:rsidP="006F5F60">
            <w:pPr>
              <w:autoSpaceDE w:val="0"/>
              <w:autoSpaceDN w:val="0"/>
              <w:adjustRightInd w:val="0"/>
              <w:jc w:val="center"/>
              <w:rPr>
                <w:rFonts w:ascii="Calibri" w:eastAsia="Calibri" w:hAnsi="Calibri" w:cs="Calibri"/>
                <w:bCs/>
                <w:color w:val="000000" w:themeColor="text1"/>
                <w:lang w:eastAsia="it-IT"/>
              </w:rPr>
            </w:pPr>
            <w:r w:rsidRPr="00331B7B">
              <w:rPr>
                <w:rFonts w:ascii="Calibri" w:eastAsia="Calibri" w:hAnsi="Calibri" w:cs="Calibri"/>
                <w:bCs/>
                <w:color w:val="000000" w:themeColor="text1"/>
                <w:lang w:eastAsia="it-IT"/>
              </w:rPr>
              <w:t>17</w:t>
            </w:r>
          </w:p>
        </w:tc>
      </w:tr>
      <w:tr w:rsidR="00331B7B" w:rsidRPr="00331B7B" w14:paraId="72E7457F" w14:textId="77777777" w:rsidTr="008A6FA0">
        <w:trPr>
          <w:trHeight w:val="112"/>
          <w:jc w:val="center"/>
        </w:trPr>
        <w:tc>
          <w:tcPr>
            <w:tcW w:w="1945" w:type="dxa"/>
            <w:shd w:val="clear" w:color="auto" w:fill="D0CECE"/>
          </w:tcPr>
          <w:p w14:paraId="1A362F3C" w14:textId="77777777" w:rsidR="00331B7B" w:rsidRPr="00331B7B" w:rsidRDefault="00331B7B" w:rsidP="006F5F60">
            <w:pPr>
              <w:autoSpaceDE w:val="0"/>
              <w:autoSpaceDN w:val="0"/>
              <w:adjustRightInd w:val="0"/>
              <w:rPr>
                <w:rFonts w:ascii="Calibri" w:eastAsia="Calibri" w:hAnsi="Calibri" w:cs="Calibri"/>
                <w:b/>
                <w:bCs/>
                <w:color w:val="000000" w:themeColor="text1"/>
                <w:lang w:eastAsia="it-IT"/>
              </w:rPr>
            </w:pPr>
            <w:r w:rsidRPr="00331B7B">
              <w:rPr>
                <w:rFonts w:ascii="Calibri" w:eastAsia="Calibri" w:hAnsi="Calibri" w:cs="Calibri"/>
                <w:b/>
                <w:bCs/>
                <w:color w:val="000000" w:themeColor="text1"/>
                <w:lang w:eastAsia="it-IT"/>
              </w:rPr>
              <w:t xml:space="preserve">Impiegato 2° liv. </w:t>
            </w:r>
          </w:p>
        </w:tc>
        <w:tc>
          <w:tcPr>
            <w:tcW w:w="1542" w:type="dxa"/>
            <w:shd w:val="clear" w:color="auto" w:fill="E7E6E6"/>
          </w:tcPr>
          <w:p w14:paraId="2BBED236" w14:textId="77777777" w:rsidR="00331B7B" w:rsidRPr="00331B7B" w:rsidRDefault="00331B7B" w:rsidP="006F5F60">
            <w:pPr>
              <w:autoSpaceDE w:val="0"/>
              <w:autoSpaceDN w:val="0"/>
              <w:adjustRightInd w:val="0"/>
              <w:jc w:val="center"/>
              <w:rPr>
                <w:rFonts w:ascii="Calibri" w:eastAsia="Calibri" w:hAnsi="Calibri" w:cs="Calibri"/>
                <w:bCs/>
                <w:color w:val="000000" w:themeColor="text1"/>
                <w:lang w:eastAsia="it-IT"/>
              </w:rPr>
            </w:pPr>
            <w:r w:rsidRPr="00331B7B">
              <w:rPr>
                <w:rFonts w:ascii="Calibri" w:eastAsia="Calibri" w:hAnsi="Calibri" w:cs="Calibri"/>
                <w:bCs/>
                <w:color w:val="000000" w:themeColor="text1"/>
                <w:lang w:eastAsia="it-IT"/>
              </w:rPr>
              <w:t>25</w:t>
            </w:r>
          </w:p>
        </w:tc>
        <w:tc>
          <w:tcPr>
            <w:tcW w:w="1670" w:type="dxa"/>
            <w:shd w:val="clear" w:color="auto" w:fill="E7E6E6"/>
          </w:tcPr>
          <w:p w14:paraId="52932B0C" w14:textId="77777777" w:rsidR="00331B7B" w:rsidRPr="00331B7B" w:rsidRDefault="00331B7B" w:rsidP="006F5F60">
            <w:pPr>
              <w:autoSpaceDE w:val="0"/>
              <w:autoSpaceDN w:val="0"/>
              <w:adjustRightInd w:val="0"/>
              <w:jc w:val="center"/>
              <w:rPr>
                <w:rFonts w:ascii="Calibri" w:eastAsia="Calibri" w:hAnsi="Calibri" w:cs="Calibri"/>
                <w:bCs/>
                <w:color w:val="000000" w:themeColor="text1"/>
                <w:lang w:eastAsia="it-IT"/>
              </w:rPr>
            </w:pPr>
            <w:r w:rsidRPr="00331B7B">
              <w:rPr>
                <w:rFonts w:ascii="Calibri" w:eastAsia="Calibri" w:hAnsi="Calibri" w:cs="Calibri"/>
                <w:bCs/>
                <w:color w:val="000000" w:themeColor="text1"/>
                <w:lang w:eastAsia="it-IT"/>
              </w:rPr>
              <w:t>25</w:t>
            </w:r>
          </w:p>
        </w:tc>
      </w:tr>
      <w:tr w:rsidR="00331B7B" w:rsidRPr="00331B7B" w14:paraId="7AEB8397" w14:textId="77777777" w:rsidTr="008A6FA0">
        <w:trPr>
          <w:trHeight w:val="115"/>
          <w:jc w:val="center"/>
        </w:trPr>
        <w:tc>
          <w:tcPr>
            <w:tcW w:w="1945" w:type="dxa"/>
            <w:shd w:val="clear" w:color="auto" w:fill="D0CECE"/>
          </w:tcPr>
          <w:p w14:paraId="2D6206AF" w14:textId="77777777" w:rsidR="00331B7B" w:rsidRPr="00331B7B" w:rsidRDefault="00331B7B" w:rsidP="006F5F60">
            <w:pPr>
              <w:autoSpaceDE w:val="0"/>
              <w:autoSpaceDN w:val="0"/>
              <w:adjustRightInd w:val="0"/>
              <w:rPr>
                <w:rFonts w:ascii="Calibri" w:eastAsia="Calibri" w:hAnsi="Calibri" w:cs="Calibri"/>
                <w:b/>
                <w:bCs/>
                <w:color w:val="000000" w:themeColor="text1"/>
                <w:lang w:eastAsia="it-IT"/>
              </w:rPr>
            </w:pPr>
            <w:r w:rsidRPr="00331B7B">
              <w:rPr>
                <w:rFonts w:ascii="Calibri" w:eastAsia="Calibri" w:hAnsi="Calibri" w:cs="Calibri"/>
                <w:b/>
                <w:bCs/>
                <w:color w:val="000000" w:themeColor="text1"/>
                <w:lang w:eastAsia="it-IT"/>
              </w:rPr>
              <w:t xml:space="preserve">Impiegato 3° liv. </w:t>
            </w:r>
          </w:p>
        </w:tc>
        <w:tc>
          <w:tcPr>
            <w:tcW w:w="1542" w:type="dxa"/>
            <w:shd w:val="clear" w:color="auto" w:fill="E7E6E6"/>
          </w:tcPr>
          <w:p w14:paraId="24A730A2" w14:textId="77777777" w:rsidR="00331B7B" w:rsidRPr="00331B7B" w:rsidRDefault="00331B7B" w:rsidP="006F5F60">
            <w:pPr>
              <w:autoSpaceDE w:val="0"/>
              <w:autoSpaceDN w:val="0"/>
              <w:adjustRightInd w:val="0"/>
              <w:jc w:val="center"/>
              <w:rPr>
                <w:rFonts w:ascii="Calibri" w:eastAsia="Calibri" w:hAnsi="Calibri" w:cs="Calibri"/>
                <w:bCs/>
                <w:color w:val="000000" w:themeColor="text1"/>
                <w:lang w:eastAsia="it-IT"/>
              </w:rPr>
            </w:pPr>
            <w:r w:rsidRPr="00331B7B">
              <w:rPr>
                <w:rFonts w:ascii="Calibri" w:eastAsia="Calibri" w:hAnsi="Calibri" w:cs="Calibri"/>
                <w:bCs/>
                <w:color w:val="000000" w:themeColor="text1"/>
                <w:lang w:eastAsia="it-IT"/>
              </w:rPr>
              <w:t>12</w:t>
            </w:r>
          </w:p>
        </w:tc>
        <w:tc>
          <w:tcPr>
            <w:tcW w:w="1670" w:type="dxa"/>
            <w:shd w:val="clear" w:color="auto" w:fill="E7E6E6"/>
          </w:tcPr>
          <w:p w14:paraId="3D016E26" w14:textId="77777777" w:rsidR="00331B7B" w:rsidRPr="00331B7B" w:rsidRDefault="00331B7B" w:rsidP="006F5F60">
            <w:pPr>
              <w:autoSpaceDE w:val="0"/>
              <w:autoSpaceDN w:val="0"/>
              <w:adjustRightInd w:val="0"/>
              <w:jc w:val="center"/>
              <w:rPr>
                <w:rFonts w:ascii="Calibri" w:eastAsia="Calibri" w:hAnsi="Calibri" w:cs="Calibri"/>
                <w:bCs/>
                <w:color w:val="000000" w:themeColor="text1"/>
                <w:lang w:eastAsia="it-IT"/>
              </w:rPr>
            </w:pPr>
            <w:r w:rsidRPr="00331B7B">
              <w:rPr>
                <w:rFonts w:ascii="Calibri" w:eastAsia="Calibri" w:hAnsi="Calibri" w:cs="Calibri"/>
                <w:bCs/>
                <w:color w:val="000000" w:themeColor="text1"/>
                <w:lang w:eastAsia="it-IT"/>
              </w:rPr>
              <w:t>9</w:t>
            </w:r>
          </w:p>
        </w:tc>
      </w:tr>
      <w:tr w:rsidR="00331B7B" w:rsidRPr="00331B7B" w14:paraId="673868FF" w14:textId="77777777" w:rsidTr="008A6FA0">
        <w:trPr>
          <w:trHeight w:val="115"/>
          <w:jc w:val="center"/>
        </w:trPr>
        <w:tc>
          <w:tcPr>
            <w:tcW w:w="1945" w:type="dxa"/>
            <w:shd w:val="clear" w:color="auto" w:fill="D0CECE"/>
          </w:tcPr>
          <w:p w14:paraId="38242540" w14:textId="77777777" w:rsidR="00331B7B" w:rsidRPr="00331B7B" w:rsidRDefault="00331B7B" w:rsidP="006F5F60">
            <w:pPr>
              <w:autoSpaceDE w:val="0"/>
              <w:autoSpaceDN w:val="0"/>
              <w:adjustRightInd w:val="0"/>
              <w:rPr>
                <w:rFonts w:ascii="Calibri" w:eastAsia="Calibri" w:hAnsi="Calibri" w:cs="Calibri"/>
                <w:b/>
                <w:bCs/>
                <w:color w:val="000000" w:themeColor="text1"/>
                <w:lang w:eastAsia="it-IT"/>
              </w:rPr>
            </w:pPr>
            <w:r w:rsidRPr="00331B7B">
              <w:rPr>
                <w:rFonts w:ascii="Calibri" w:eastAsia="Calibri" w:hAnsi="Calibri" w:cs="Calibri"/>
                <w:b/>
                <w:bCs/>
                <w:color w:val="000000" w:themeColor="text1"/>
                <w:lang w:eastAsia="it-IT"/>
              </w:rPr>
              <w:t xml:space="preserve">Impiegato 4° liv. </w:t>
            </w:r>
          </w:p>
        </w:tc>
        <w:tc>
          <w:tcPr>
            <w:tcW w:w="1542" w:type="dxa"/>
            <w:shd w:val="clear" w:color="auto" w:fill="E7E6E6"/>
          </w:tcPr>
          <w:p w14:paraId="5DB5E995" w14:textId="77777777" w:rsidR="00331B7B" w:rsidRPr="00331B7B" w:rsidRDefault="00331B7B" w:rsidP="006F5F60">
            <w:pPr>
              <w:autoSpaceDE w:val="0"/>
              <w:autoSpaceDN w:val="0"/>
              <w:adjustRightInd w:val="0"/>
              <w:jc w:val="center"/>
              <w:rPr>
                <w:rFonts w:ascii="Calibri" w:eastAsia="Calibri" w:hAnsi="Calibri" w:cs="Calibri"/>
                <w:bCs/>
                <w:color w:val="000000" w:themeColor="text1"/>
                <w:lang w:eastAsia="it-IT"/>
              </w:rPr>
            </w:pPr>
            <w:r w:rsidRPr="00331B7B">
              <w:rPr>
                <w:rFonts w:ascii="Calibri" w:eastAsia="Calibri" w:hAnsi="Calibri" w:cs="Calibri"/>
                <w:bCs/>
                <w:color w:val="000000" w:themeColor="text1"/>
                <w:lang w:eastAsia="it-IT"/>
              </w:rPr>
              <w:t>6</w:t>
            </w:r>
          </w:p>
        </w:tc>
        <w:tc>
          <w:tcPr>
            <w:tcW w:w="1670" w:type="dxa"/>
            <w:shd w:val="clear" w:color="auto" w:fill="E7E6E6"/>
          </w:tcPr>
          <w:p w14:paraId="26CED119" w14:textId="77777777" w:rsidR="00331B7B" w:rsidRPr="00331B7B" w:rsidRDefault="00331B7B" w:rsidP="006F5F60">
            <w:pPr>
              <w:autoSpaceDE w:val="0"/>
              <w:autoSpaceDN w:val="0"/>
              <w:adjustRightInd w:val="0"/>
              <w:jc w:val="center"/>
              <w:rPr>
                <w:rFonts w:ascii="Calibri" w:eastAsia="Calibri" w:hAnsi="Calibri" w:cs="Calibri"/>
                <w:bCs/>
                <w:color w:val="000000" w:themeColor="text1"/>
                <w:lang w:eastAsia="it-IT"/>
              </w:rPr>
            </w:pPr>
            <w:r w:rsidRPr="00331B7B">
              <w:rPr>
                <w:rFonts w:ascii="Calibri" w:eastAsia="Calibri" w:hAnsi="Calibri" w:cs="Calibri"/>
                <w:bCs/>
                <w:color w:val="000000" w:themeColor="text1"/>
                <w:lang w:eastAsia="it-IT"/>
              </w:rPr>
              <w:t>5</w:t>
            </w:r>
          </w:p>
        </w:tc>
      </w:tr>
      <w:tr w:rsidR="00331B7B" w:rsidRPr="00331B7B" w14:paraId="7859BBCE" w14:textId="77777777" w:rsidTr="008A6FA0">
        <w:trPr>
          <w:trHeight w:val="105"/>
          <w:jc w:val="center"/>
        </w:trPr>
        <w:tc>
          <w:tcPr>
            <w:tcW w:w="1945" w:type="dxa"/>
            <w:shd w:val="clear" w:color="auto" w:fill="D0CECE"/>
          </w:tcPr>
          <w:p w14:paraId="7A20F253" w14:textId="77777777" w:rsidR="00331B7B" w:rsidRPr="00331B7B" w:rsidRDefault="00331B7B" w:rsidP="006F5F60">
            <w:pPr>
              <w:autoSpaceDE w:val="0"/>
              <w:autoSpaceDN w:val="0"/>
              <w:adjustRightInd w:val="0"/>
              <w:rPr>
                <w:rFonts w:ascii="Calibri" w:eastAsia="Calibri" w:hAnsi="Calibri" w:cs="Calibri"/>
                <w:b/>
                <w:bCs/>
                <w:color w:val="000000" w:themeColor="text1"/>
                <w:lang w:eastAsia="it-IT"/>
              </w:rPr>
            </w:pPr>
            <w:r w:rsidRPr="00331B7B">
              <w:rPr>
                <w:rFonts w:ascii="Calibri" w:eastAsia="Calibri" w:hAnsi="Calibri" w:cs="Calibri"/>
                <w:b/>
                <w:bCs/>
                <w:color w:val="000000" w:themeColor="text1"/>
                <w:lang w:eastAsia="it-IT"/>
              </w:rPr>
              <w:t xml:space="preserve">Totale </w:t>
            </w:r>
          </w:p>
        </w:tc>
        <w:tc>
          <w:tcPr>
            <w:tcW w:w="1542" w:type="dxa"/>
            <w:shd w:val="clear" w:color="auto" w:fill="E7E6E6"/>
          </w:tcPr>
          <w:p w14:paraId="5CFD4560" w14:textId="77777777" w:rsidR="00331B7B" w:rsidRPr="00331B7B" w:rsidRDefault="00331B7B" w:rsidP="006F5F60">
            <w:pPr>
              <w:autoSpaceDE w:val="0"/>
              <w:autoSpaceDN w:val="0"/>
              <w:adjustRightInd w:val="0"/>
              <w:jc w:val="center"/>
              <w:rPr>
                <w:rFonts w:ascii="Calibri" w:eastAsia="Calibri" w:hAnsi="Calibri" w:cs="Calibri"/>
                <w:bCs/>
                <w:color w:val="000000" w:themeColor="text1"/>
                <w:lang w:eastAsia="it-IT"/>
              </w:rPr>
            </w:pPr>
            <w:r w:rsidRPr="00331B7B">
              <w:rPr>
                <w:rFonts w:ascii="Calibri" w:eastAsia="Calibri" w:hAnsi="Calibri" w:cs="Calibri"/>
                <w:bCs/>
                <w:color w:val="000000" w:themeColor="text1"/>
                <w:lang w:eastAsia="it-IT"/>
              </w:rPr>
              <w:t>99*</w:t>
            </w:r>
          </w:p>
        </w:tc>
        <w:tc>
          <w:tcPr>
            <w:tcW w:w="1670" w:type="dxa"/>
            <w:shd w:val="clear" w:color="auto" w:fill="E7E6E6"/>
          </w:tcPr>
          <w:p w14:paraId="7B5B4B03" w14:textId="77777777" w:rsidR="00331B7B" w:rsidRPr="00331B7B" w:rsidRDefault="00331B7B" w:rsidP="006F5F60">
            <w:pPr>
              <w:autoSpaceDE w:val="0"/>
              <w:autoSpaceDN w:val="0"/>
              <w:adjustRightInd w:val="0"/>
              <w:jc w:val="center"/>
              <w:rPr>
                <w:rFonts w:ascii="Calibri" w:eastAsia="Calibri" w:hAnsi="Calibri" w:cs="Calibri"/>
                <w:bCs/>
                <w:color w:val="000000" w:themeColor="text1"/>
                <w:lang w:eastAsia="it-IT"/>
              </w:rPr>
            </w:pPr>
            <w:r w:rsidRPr="00331B7B">
              <w:rPr>
                <w:rFonts w:ascii="Calibri" w:eastAsia="Calibri" w:hAnsi="Calibri" w:cs="Calibri"/>
                <w:bCs/>
                <w:color w:val="000000" w:themeColor="text1"/>
                <w:lang w:eastAsia="it-IT"/>
              </w:rPr>
              <w:t>84</w:t>
            </w:r>
          </w:p>
        </w:tc>
      </w:tr>
      <w:tr w:rsidR="00A57C93" w:rsidRPr="00331B7B" w14:paraId="3BD01B44" w14:textId="77777777" w:rsidTr="00A57C93">
        <w:trPr>
          <w:trHeight w:val="105"/>
          <w:jc w:val="center"/>
        </w:trPr>
        <w:tc>
          <w:tcPr>
            <w:tcW w:w="5157" w:type="dxa"/>
            <w:gridSpan w:val="3"/>
            <w:shd w:val="clear" w:color="auto" w:fill="FFFFFF" w:themeFill="background1"/>
          </w:tcPr>
          <w:p w14:paraId="4BD169AE" w14:textId="0B4733C1" w:rsidR="00A57C93" w:rsidRPr="00331B7B" w:rsidRDefault="00A57C93" w:rsidP="00A57C93">
            <w:pPr>
              <w:jc w:val="center"/>
              <w:rPr>
                <w:rFonts w:ascii="Calibri" w:eastAsia="Calibri" w:hAnsi="Calibri" w:cs="Calibri"/>
                <w:bCs/>
                <w:color w:val="000000" w:themeColor="text1"/>
                <w:lang w:eastAsia="it-IT"/>
              </w:rPr>
            </w:pPr>
            <w:r>
              <w:rPr>
                <w:sz w:val="16"/>
                <w:szCs w:val="16"/>
              </w:rPr>
              <w:t>Tab. 2: Copertura effettiva dell’Organico dell’Autorità di Sistema Portuale del Mar Adriatico Settentrionale</w:t>
            </w:r>
          </w:p>
        </w:tc>
      </w:tr>
    </w:tbl>
    <w:p w14:paraId="2586C8A5" w14:textId="1E6CFDD0" w:rsidR="00331B7B" w:rsidRDefault="00331B7B" w:rsidP="00331B7B">
      <w:pPr>
        <w:jc w:val="both"/>
      </w:pPr>
    </w:p>
    <w:p w14:paraId="215CD7CC" w14:textId="77777777" w:rsidR="003D7190" w:rsidRDefault="003D7190" w:rsidP="003D7190">
      <w:pPr>
        <w:jc w:val="both"/>
      </w:pPr>
      <w:r>
        <w:t xml:space="preserve">L’adeguamento della Pianta organica rappresenta una delle azioni che l’Autorità ha posto in essere nel corso del 2021. Considerati infatti le cinque macroaree di intervento delineate nel Piano Operativo Triennale 2022-2024 (infrastrutture resilienti, clima ed energia, dialogo porto - città, safety e security e governance ed etica), l’avvio della Rendicontazione di Sostenibilità dell’Ente e quindi in generale questo processo di trasformazione e cambiamento, l’Autorità ha avviato parallelamente l’attività di analisi organizzativa al fine di migliorare la capacità dell’organizzazione di progettare e implementare cambiamenti, ridurre tempi e realizzare in modo efficiente ed efficace i piani d’azione previsti. </w:t>
      </w:r>
    </w:p>
    <w:p w14:paraId="01CF750B" w14:textId="77777777" w:rsidR="003D7190" w:rsidRDefault="003D7190" w:rsidP="003D7190">
      <w:pPr>
        <w:jc w:val="both"/>
      </w:pPr>
      <w:r>
        <w:t>Tale attività di analisi ha come obiettivo quello di delineare una nuova Struttura organizzativa efficace ed efficiente in termini di competenze, risorse e funzioni, oltre che sostenibile e coerente con gli obiettivi strategici individuati e le nuove sfide del mercato e comprende tre principali ambiti di intervento: organizzazione, ridefinizione delle procedure organizzative dell’Ente e un nuovo modello di performance.</w:t>
      </w:r>
    </w:p>
    <w:p w14:paraId="0EC9E8DD" w14:textId="77777777" w:rsidR="003D7190" w:rsidRDefault="003D7190" w:rsidP="003D7190">
      <w:pPr>
        <w:jc w:val="both"/>
      </w:pPr>
      <w:r>
        <w:t>Il ciclo della performance si integra infatti con la programmazione strategica e finanziaria dell’Ente secondo quanto previsto dal D.lgs. 150/2009 “Attuazione della legge 4 marzo 2009, n.15, in materia di ottimizzazione della produttività del lavoro pubblico e di efficienza e trasparenza delle pubbliche amministrazioni”.</w:t>
      </w:r>
    </w:p>
    <w:p w14:paraId="72F70CCC" w14:textId="77777777" w:rsidR="003D7190" w:rsidRDefault="003D7190" w:rsidP="003D7190">
      <w:pPr>
        <w:jc w:val="both"/>
      </w:pPr>
      <w:r>
        <w:t>Coerentemente con i compiti istituzionali, con gli obiettivi istituzionali dell’Ente ed gli obiettivi individuati nel Piano Operativo Triennale sono stati definiti gli obiettivi strategici per l’anno 2021. Il Sistema di Valutazione della Performance dell’Autorità di Sistema Portuale del Mare Adriatico Settentrionale è dato dall’insieme, coerente e completo, delle metodologie, delle modalità e delle azione che hanno ad oggetto la misurazione e la valutazione della performance poste in relazione con i soggetti e con le strutture coinvolte nel processo e prescinde dal fatto che la prestazione sia resa in ufficio, in luogo diverso o in modalità mista: la sua applicazione ed attuazione consente all’Ente di misurare e valutare la performance organizzativa ed individuale.</w:t>
      </w:r>
    </w:p>
    <w:p w14:paraId="0AB2ECE4" w14:textId="77777777" w:rsidR="003D7190" w:rsidRDefault="003D7190" w:rsidP="003D7190">
      <w:pPr>
        <w:jc w:val="both"/>
      </w:pPr>
      <w:r>
        <w:t xml:space="preserve">Ogni anno il Ministero delle Infrastrutture e della Mobilità Sostenibili (MIMS) procede all’individuazione degli obiettivi finalizzati alla determinazione della parte variabile dell’emolumento dei Presidenti delle Autorità, con l’obiettivo di creare uno stretto raccordo tra le priorità dell’indirizzo politico del Governo, la programmazione strategica ed operativa connessa all’azione amministrativa del Ministero ed i compiti </w:t>
      </w:r>
      <w:r>
        <w:lastRenderedPageBreak/>
        <w:t>attribuiti dall’ordinamento vigente alle Autorità medesime. Tenuto conto del Piano Operativo Triennale e degli obiettivi istituzionali assegnati dal Ministero vigilante alle Autorità, è stato definito il Piano delle Performance per l’anno 2021, di cui al Decreto n. 653/2021, in cui vengono individuati e assegnati al personale dirigente obiettivi strategici e specifici coerentemente con Linee strategiche di indirizzo dell’Ente.</w:t>
      </w:r>
    </w:p>
    <w:p w14:paraId="0D36A732" w14:textId="77777777" w:rsidR="003D7190" w:rsidRDefault="003D7190" w:rsidP="003D7190">
      <w:pPr>
        <w:jc w:val="both"/>
      </w:pPr>
      <w:r>
        <w:t>Per l’anno 2021 il Piano delle Performance dell’Autorità di Sistema Portuale del Mare Adriatico Settentrionale ha definito obiettivi strategici e specifici, coerentemente anche con gli obiettivi istituzionali assegnati dal Ministero delle Infrastrutture e della Mobilità Sostenibili con nota M_INF n. 166 del 21 aprile 2021, di seguito specificati:</w:t>
      </w:r>
    </w:p>
    <w:p w14:paraId="04B8DDC5" w14:textId="77777777" w:rsidR="003D7190" w:rsidRDefault="003D7190" w:rsidP="003D7190">
      <w:pPr>
        <w:jc w:val="both"/>
      </w:pPr>
      <w:r>
        <w:t>Direzione Pianificazione Strategica e Sviluppo</w:t>
      </w:r>
    </w:p>
    <w:p w14:paraId="179C770E" w14:textId="77777777" w:rsidR="003D7190" w:rsidRDefault="003D7190" w:rsidP="002D4276">
      <w:pPr>
        <w:pStyle w:val="Paragrafoelenco"/>
        <w:numPr>
          <w:ilvl w:val="0"/>
          <w:numId w:val="10"/>
        </w:numPr>
        <w:jc w:val="both"/>
      </w:pPr>
      <w:r>
        <w:t>Rendiconto di Sostenibilità dell'Ente</w:t>
      </w:r>
    </w:p>
    <w:p w14:paraId="6C00B250" w14:textId="77777777" w:rsidR="003D7190" w:rsidRDefault="003D7190" w:rsidP="002D4276">
      <w:pPr>
        <w:pStyle w:val="Paragrafoelenco"/>
        <w:numPr>
          <w:ilvl w:val="0"/>
          <w:numId w:val="10"/>
        </w:numPr>
        <w:jc w:val="both"/>
      </w:pPr>
      <w:r>
        <w:t>Concorso di idee DM 45/2016 - Accosti Crociere e Container</w:t>
      </w:r>
    </w:p>
    <w:p w14:paraId="16CE5DD9" w14:textId="75843561" w:rsidR="003D7190" w:rsidRDefault="003D7190" w:rsidP="002D4276">
      <w:pPr>
        <w:pStyle w:val="Paragrafoelenco"/>
        <w:numPr>
          <w:ilvl w:val="0"/>
          <w:numId w:val="10"/>
        </w:numPr>
        <w:jc w:val="both"/>
      </w:pPr>
      <w:r>
        <w:t xml:space="preserve">Nuovo Corridoio Intermodale </w:t>
      </w:r>
    </w:p>
    <w:p w14:paraId="57FE946E" w14:textId="77777777" w:rsidR="003D7190" w:rsidRDefault="003D7190" w:rsidP="003D7190">
      <w:pPr>
        <w:jc w:val="both"/>
      </w:pPr>
      <w:r>
        <w:t>Direzione Coordinamento Operativo Portuale</w:t>
      </w:r>
    </w:p>
    <w:p w14:paraId="3764AA29" w14:textId="77777777" w:rsidR="003D7190" w:rsidRDefault="003D7190" w:rsidP="002D4276">
      <w:pPr>
        <w:pStyle w:val="Paragrafoelenco"/>
        <w:numPr>
          <w:ilvl w:val="0"/>
          <w:numId w:val="11"/>
        </w:numPr>
        <w:jc w:val="both"/>
      </w:pPr>
      <w:r>
        <w:t xml:space="preserve">Istituzione Sportello unico Amministrativo: definizione del Regolamento SUA sulla base delle linee guida approvate dal MIMS </w:t>
      </w:r>
    </w:p>
    <w:p w14:paraId="7F36CD8A" w14:textId="77777777" w:rsidR="003D7190" w:rsidRDefault="003D7190" w:rsidP="002D4276">
      <w:pPr>
        <w:pStyle w:val="Paragrafoelenco"/>
        <w:numPr>
          <w:ilvl w:val="0"/>
          <w:numId w:val="11"/>
        </w:numPr>
        <w:jc w:val="both"/>
      </w:pPr>
      <w:r>
        <w:t xml:space="preserve">Monitoraggio rafforzato su attività art. 17 </w:t>
      </w:r>
    </w:p>
    <w:p w14:paraId="5EED5E88" w14:textId="4DEFAFC4" w:rsidR="003D7190" w:rsidRDefault="003D7190" w:rsidP="002D4276">
      <w:pPr>
        <w:pStyle w:val="Paragrafoelenco"/>
        <w:numPr>
          <w:ilvl w:val="0"/>
          <w:numId w:val="11"/>
        </w:numPr>
        <w:jc w:val="both"/>
      </w:pPr>
      <w:r>
        <w:t xml:space="preserve">Monitoraggio straordinario sullo stato di consistenza beni demaniali ai fini della conservazione </w:t>
      </w:r>
    </w:p>
    <w:p w14:paraId="53506BE2" w14:textId="77777777" w:rsidR="003D7190" w:rsidRDefault="003D7190" w:rsidP="003D7190">
      <w:pPr>
        <w:jc w:val="both"/>
      </w:pPr>
      <w:r>
        <w:t>Direzione Tecnica</w:t>
      </w:r>
    </w:p>
    <w:p w14:paraId="4CA70FB9" w14:textId="77777777" w:rsidR="003D7190" w:rsidRDefault="003D7190" w:rsidP="002D4276">
      <w:pPr>
        <w:pStyle w:val="Paragrafoelenco"/>
        <w:numPr>
          <w:ilvl w:val="0"/>
          <w:numId w:val="12"/>
        </w:numPr>
        <w:jc w:val="both"/>
      </w:pPr>
      <w:r>
        <w:t xml:space="preserve">Realizzazione del cronoprogramma approvato relativo all'avanzamento fisico/finanziario delle opere previste nel Programma Triennale delle Opere pubbliche 2021-2023 - Annualità 2021 </w:t>
      </w:r>
    </w:p>
    <w:p w14:paraId="1C3B3AAF" w14:textId="77777777" w:rsidR="003D7190" w:rsidRDefault="003D7190" w:rsidP="002D4276">
      <w:pPr>
        <w:pStyle w:val="Paragrafoelenco"/>
        <w:numPr>
          <w:ilvl w:val="0"/>
          <w:numId w:val="12"/>
        </w:numPr>
        <w:jc w:val="both"/>
      </w:pPr>
      <w:r>
        <w:t xml:space="preserve">Attuazione di misure di efficientamento energetico relative a impianti di illuminazione dei sistemi portuali, degli immobili e delle infrastrutture di pertinenza </w:t>
      </w:r>
    </w:p>
    <w:p w14:paraId="31F9D6A0" w14:textId="49C81786" w:rsidR="003D7190" w:rsidRDefault="003D7190" w:rsidP="002D4276">
      <w:pPr>
        <w:pStyle w:val="Paragrafoelenco"/>
        <w:numPr>
          <w:ilvl w:val="0"/>
          <w:numId w:val="12"/>
        </w:numPr>
        <w:jc w:val="both"/>
      </w:pPr>
      <w:r>
        <w:t>Piano Triennali degli interventi di dragaggio in relazione alle attività manutentive ovvero alla previsione di nuovi traffici</w:t>
      </w:r>
    </w:p>
    <w:p w14:paraId="58AB8287" w14:textId="77777777" w:rsidR="003D7190" w:rsidRDefault="003D7190" w:rsidP="003D7190">
      <w:pPr>
        <w:jc w:val="both"/>
      </w:pPr>
      <w:r>
        <w:t xml:space="preserve">Direzione Programmazione e Finanza </w:t>
      </w:r>
    </w:p>
    <w:p w14:paraId="70B95030" w14:textId="77777777" w:rsidR="003D7190" w:rsidRDefault="003D7190" w:rsidP="002D4276">
      <w:pPr>
        <w:pStyle w:val="Paragrafoelenco"/>
        <w:numPr>
          <w:ilvl w:val="0"/>
          <w:numId w:val="13"/>
        </w:numPr>
        <w:jc w:val="both"/>
      </w:pPr>
      <w:r>
        <w:t xml:space="preserve">Realizzazione del cronoprogramma approvato relativo all'avanzamento fisico/finanziario delle opere previste nel Programma Triennale delle Opere pubbliche 2021-2023 - Annualità 2021 </w:t>
      </w:r>
    </w:p>
    <w:p w14:paraId="62DE3384" w14:textId="77777777" w:rsidR="003D7190" w:rsidRDefault="003D7190" w:rsidP="002D4276">
      <w:pPr>
        <w:pStyle w:val="Paragrafoelenco"/>
        <w:numPr>
          <w:ilvl w:val="0"/>
          <w:numId w:val="13"/>
        </w:numPr>
        <w:jc w:val="both"/>
      </w:pPr>
      <w:r>
        <w:t xml:space="preserve">Mappatura e analisi dei procedimenti amministrativi da dematerializzare come assegnati </w:t>
      </w:r>
    </w:p>
    <w:p w14:paraId="56BC83A7" w14:textId="69EDCCFF" w:rsidR="003D7190" w:rsidRDefault="003D7190" w:rsidP="002D4276">
      <w:pPr>
        <w:pStyle w:val="Paragrafoelenco"/>
        <w:numPr>
          <w:ilvl w:val="0"/>
          <w:numId w:val="13"/>
        </w:numPr>
        <w:jc w:val="both"/>
      </w:pPr>
      <w:r>
        <w:t xml:space="preserve">Razionalizzazione del processo di acquisizione di beni, servizi, forniture e lavori </w:t>
      </w:r>
    </w:p>
    <w:p w14:paraId="59E6876A" w14:textId="77777777" w:rsidR="003D7190" w:rsidRDefault="003D7190" w:rsidP="003D7190">
      <w:pPr>
        <w:jc w:val="both"/>
      </w:pPr>
      <w:r>
        <w:t>Direzione Demanio</w:t>
      </w:r>
    </w:p>
    <w:p w14:paraId="1BD5ED3C" w14:textId="77777777" w:rsidR="003D7190" w:rsidRDefault="003D7190" w:rsidP="002D4276">
      <w:pPr>
        <w:pStyle w:val="Paragrafoelenco"/>
        <w:numPr>
          <w:ilvl w:val="0"/>
          <w:numId w:val="14"/>
        </w:numPr>
        <w:jc w:val="both"/>
      </w:pPr>
      <w:r>
        <w:t xml:space="preserve">WATERFRONT: pianificazione concessioni San Basilio, Marittima, Santa Marta </w:t>
      </w:r>
    </w:p>
    <w:p w14:paraId="49FB75F9" w14:textId="77777777" w:rsidR="003D7190" w:rsidRDefault="003D7190" w:rsidP="002D4276">
      <w:pPr>
        <w:pStyle w:val="Paragrafoelenco"/>
        <w:numPr>
          <w:ilvl w:val="0"/>
          <w:numId w:val="14"/>
        </w:numPr>
        <w:jc w:val="both"/>
      </w:pPr>
      <w:r>
        <w:t>Sportello Unico Amministrativo: mappatura e analisi procedimenti di competenza</w:t>
      </w:r>
    </w:p>
    <w:p w14:paraId="35F13982" w14:textId="59BD3086" w:rsidR="003D7190" w:rsidRDefault="003D7190" w:rsidP="002D4276">
      <w:pPr>
        <w:pStyle w:val="Paragrafoelenco"/>
        <w:numPr>
          <w:ilvl w:val="0"/>
          <w:numId w:val="14"/>
        </w:numPr>
        <w:jc w:val="both"/>
      </w:pPr>
      <w:r>
        <w:t xml:space="preserve">Transizione Crociere a Marghera: aggiornamento concessioni demaniali </w:t>
      </w:r>
    </w:p>
    <w:p w14:paraId="12DE5428" w14:textId="3B8DB859" w:rsidR="00A549AF" w:rsidRDefault="003D7190" w:rsidP="003D7190">
      <w:pPr>
        <w:jc w:val="both"/>
      </w:pPr>
      <w:r>
        <w:t xml:space="preserve">Il monitoraggio dell’intero processo di valutazione del personale dipendente è affidato all’Organismo Indipendente di Valutazione (OIV) che è responsabile del corretto rispetto e applicazione della normativa vigente, delle linee guida, della metodologia e degli strumenti previsti, e che supporta l’Ente sul piano metodologico e nella verifica della correttezza dei processi di misurazione, monitoraggio, valutazione e rendicontazione della performance organizzativa dell’Ente. Attualmente l’incarico è ricoperto dal dott. Mario Venanzi di cui al Decreto AdSPMAS n. 651 del 28 luglio 2021. Nel corso del 2021 l’Organismo Indipendente di Valutazione ha supportato l’Ente nel processo di definizione della Metodologia (Decreto n. 698/2021), del Piano delle performance, monitorando il funzionamento complessivo del nuovo sistema di misurazione e </w:t>
      </w:r>
      <w:r>
        <w:lastRenderedPageBreak/>
        <w:t>valutazione, della trasparenza ed integrità, al fine della misurazione dei risultati raggiunti relativamente alla performance organizzativa e della validazione della Relazione sulla Performance.</w:t>
      </w:r>
    </w:p>
    <w:p w14:paraId="3ECC30B1" w14:textId="77777777" w:rsidR="00331B7B" w:rsidRDefault="00331B7B" w:rsidP="00331B7B">
      <w:pPr>
        <w:jc w:val="both"/>
      </w:pPr>
      <w:r>
        <w:t xml:space="preserve">Analizzando la composizione dell’organico della Segreteria Tecnico-Operativa, escluso il Segretario Generale, emergono i seguenti principali fenomeni: </w:t>
      </w:r>
    </w:p>
    <w:p w14:paraId="3A74CC78" w14:textId="77777777" w:rsidR="00331B7B" w:rsidRDefault="00331B7B" w:rsidP="002D4276">
      <w:pPr>
        <w:pStyle w:val="Paragrafoelenco"/>
        <w:numPr>
          <w:ilvl w:val="0"/>
          <w:numId w:val="1"/>
        </w:numPr>
        <w:jc w:val="both"/>
      </w:pPr>
      <w:r>
        <w:t>l’età media dei dipendenti è di circa 45 anni;</w:t>
      </w:r>
    </w:p>
    <w:p w14:paraId="2DD4ED17" w14:textId="77777777" w:rsidR="00331B7B" w:rsidRDefault="00331B7B" w:rsidP="002D4276">
      <w:pPr>
        <w:pStyle w:val="Paragrafoelenco"/>
        <w:numPr>
          <w:ilvl w:val="0"/>
          <w:numId w:val="1"/>
        </w:numPr>
        <w:jc w:val="both"/>
      </w:pPr>
      <w:r>
        <w:t>l’anzianità media di servizio è di circa 12 anni;</w:t>
      </w:r>
    </w:p>
    <w:p w14:paraId="5C98487F" w14:textId="77777777" w:rsidR="00331B7B" w:rsidRDefault="00331B7B" w:rsidP="002D4276">
      <w:pPr>
        <w:pStyle w:val="Paragrafoelenco"/>
        <w:numPr>
          <w:ilvl w:val="0"/>
          <w:numId w:val="1"/>
        </w:numPr>
        <w:jc w:val="both"/>
      </w:pPr>
      <w:r>
        <w:t>il numero dei laureati sia tra gli uomini sia tra le donne è in costante crescita.</w:t>
      </w:r>
    </w:p>
    <w:p w14:paraId="5922125E" w14:textId="77777777" w:rsidR="00331B7B" w:rsidRDefault="00331B7B" w:rsidP="00331B7B">
      <w:pPr>
        <w:jc w:val="both"/>
      </w:pPr>
      <w:r>
        <w:t>Osservando i singoli fenomeni per ciascuna categoria emerge la seguente situazione:</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2"/>
        <w:gridCol w:w="1151"/>
        <w:gridCol w:w="1151"/>
        <w:gridCol w:w="1151"/>
        <w:gridCol w:w="1151"/>
        <w:gridCol w:w="1152"/>
        <w:gridCol w:w="2341"/>
      </w:tblGrid>
      <w:tr w:rsidR="00331B7B" w:rsidRPr="00331B7B" w14:paraId="29C04321" w14:textId="77777777" w:rsidTr="00331B7B">
        <w:tc>
          <w:tcPr>
            <w:tcW w:w="1542" w:type="dxa"/>
            <w:shd w:val="clear" w:color="auto" w:fill="D0CECE"/>
          </w:tcPr>
          <w:p w14:paraId="0B277F03" w14:textId="77777777" w:rsidR="00331B7B" w:rsidRPr="00331B7B" w:rsidRDefault="00331B7B" w:rsidP="006F5F60">
            <w:pPr>
              <w:spacing w:line="360" w:lineRule="auto"/>
              <w:ind w:right="57"/>
              <w:jc w:val="both"/>
              <w:rPr>
                <w:color w:val="000000" w:themeColor="text1"/>
                <w:sz w:val="18"/>
                <w:szCs w:val="18"/>
              </w:rPr>
            </w:pPr>
            <w:r w:rsidRPr="00331B7B">
              <w:rPr>
                <w:rFonts w:ascii="Calibri" w:hAnsi="Calibri"/>
                <w:b/>
                <w:bCs/>
                <w:color w:val="000000" w:themeColor="text1"/>
                <w:sz w:val="18"/>
                <w:szCs w:val="18"/>
                <w:lang w:eastAsia="it-IT"/>
              </w:rPr>
              <w:t>Categoria</w:t>
            </w:r>
          </w:p>
        </w:tc>
        <w:tc>
          <w:tcPr>
            <w:tcW w:w="3453" w:type="dxa"/>
            <w:gridSpan w:val="3"/>
            <w:shd w:val="clear" w:color="auto" w:fill="D0CECE"/>
          </w:tcPr>
          <w:p w14:paraId="054047EC" w14:textId="77777777" w:rsidR="00331B7B" w:rsidRPr="00331B7B" w:rsidRDefault="00331B7B" w:rsidP="006F5F60">
            <w:pPr>
              <w:spacing w:line="360" w:lineRule="auto"/>
              <w:ind w:right="57"/>
              <w:jc w:val="center"/>
              <w:rPr>
                <w:rFonts w:ascii="Calibri" w:hAnsi="Calibri"/>
                <w:b/>
                <w:bCs/>
                <w:color w:val="000000" w:themeColor="text1"/>
                <w:sz w:val="18"/>
                <w:szCs w:val="18"/>
                <w:lang w:eastAsia="it-IT"/>
              </w:rPr>
            </w:pPr>
            <w:r w:rsidRPr="00331B7B">
              <w:rPr>
                <w:rFonts w:ascii="Calibri" w:hAnsi="Calibri"/>
                <w:b/>
                <w:bCs/>
                <w:color w:val="000000" w:themeColor="text1"/>
                <w:sz w:val="18"/>
                <w:szCs w:val="18"/>
                <w:lang w:eastAsia="it-IT"/>
              </w:rPr>
              <w:t>Età anagrafica media</w:t>
            </w:r>
          </w:p>
        </w:tc>
        <w:tc>
          <w:tcPr>
            <w:tcW w:w="4644" w:type="dxa"/>
            <w:gridSpan w:val="3"/>
            <w:shd w:val="clear" w:color="auto" w:fill="D0CECE"/>
          </w:tcPr>
          <w:p w14:paraId="0E13D432" w14:textId="77777777" w:rsidR="00331B7B" w:rsidRPr="00331B7B" w:rsidRDefault="00331B7B" w:rsidP="006F5F60">
            <w:pPr>
              <w:spacing w:line="360" w:lineRule="auto"/>
              <w:ind w:right="57"/>
              <w:jc w:val="center"/>
              <w:rPr>
                <w:rFonts w:ascii="Calibri" w:hAnsi="Calibri"/>
                <w:b/>
                <w:bCs/>
                <w:color w:val="000000" w:themeColor="text1"/>
                <w:sz w:val="18"/>
                <w:szCs w:val="18"/>
                <w:lang w:eastAsia="it-IT"/>
              </w:rPr>
            </w:pPr>
            <w:r w:rsidRPr="00331B7B">
              <w:rPr>
                <w:rFonts w:ascii="Calibri" w:hAnsi="Calibri"/>
                <w:b/>
                <w:bCs/>
                <w:color w:val="000000" w:themeColor="text1"/>
                <w:sz w:val="18"/>
                <w:szCs w:val="18"/>
                <w:lang w:eastAsia="it-IT"/>
              </w:rPr>
              <w:t>Anzianità di servizio media</w:t>
            </w:r>
          </w:p>
        </w:tc>
      </w:tr>
      <w:tr w:rsidR="00331B7B" w:rsidRPr="00331B7B" w14:paraId="0084742E" w14:textId="77777777" w:rsidTr="00331B7B">
        <w:tc>
          <w:tcPr>
            <w:tcW w:w="1542" w:type="dxa"/>
            <w:shd w:val="clear" w:color="auto" w:fill="D0CECE"/>
          </w:tcPr>
          <w:p w14:paraId="4FDC0EF8" w14:textId="77777777" w:rsidR="00331B7B" w:rsidRPr="00331B7B" w:rsidRDefault="00331B7B" w:rsidP="006F5F60">
            <w:pPr>
              <w:spacing w:line="360" w:lineRule="auto"/>
              <w:ind w:right="57"/>
              <w:jc w:val="center"/>
              <w:rPr>
                <w:color w:val="000000" w:themeColor="text1"/>
                <w:sz w:val="18"/>
                <w:szCs w:val="18"/>
              </w:rPr>
            </w:pPr>
            <w:r w:rsidRPr="00331B7B">
              <w:rPr>
                <w:rFonts w:ascii="Calibri" w:hAnsi="Calibri"/>
                <w:b/>
                <w:bCs/>
                <w:color w:val="000000" w:themeColor="text1"/>
                <w:sz w:val="18"/>
                <w:szCs w:val="18"/>
                <w:lang w:eastAsia="it-IT"/>
              </w:rPr>
              <w:t>Anno</w:t>
            </w:r>
          </w:p>
        </w:tc>
        <w:tc>
          <w:tcPr>
            <w:tcW w:w="1151" w:type="dxa"/>
            <w:shd w:val="clear" w:color="auto" w:fill="E7E6E6"/>
          </w:tcPr>
          <w:p w14:paraId="483732F5" w14:textId="77777777" w:rsidR="00331B7B" w:rsidRPr="00331B7B" w:rsidRDefault="00331B7B" w:rsidP="006F5F60">
            <w:pPr>
              <w:spacing w:line="360" w:lineRule="auto"/>
              <w:ind w:right="57"/>
              <w:jc w:val="center"/>
              <w:rPr>
                <w:rFonts w:ascii="Calibri" w:hAnsi="Calibri"/>
                <w:bCs/>
                <w:color w:val="000000" w:themeColor="text1"/>
                <w:sz w:val="18"/>
                <w:szCs w:val="18"/>
                <w:lang w:eastAsia="it-IT"/>
              </w:rPr>
            </w:pPr>
            <w:r w:rsidRPr="00331B7B">
              <w:rPr>
                <w:rFonts w:ascii="Calibri" w:hAnsi="Calibri"/>
                <w:bCs/>
                <w:color w:val="000000" w:themeColor="text1"/>
                <w:sz w:val="18"/>
                <w:szCs w:val="18"/>
                <w:lang w:eastAsia="it-IT"/>
              </w:rPr>
              <w:t>2019</w:t>
            </w:r>
          </w:p>
        </w:tc>
        <w:tc>
          <w:tcPr>
            <w:tcW w:w="1151" w:type="dxa"/>
            <w:shd w:val="clear" w:color="auto" w:fill="E7E6E6"/>
          </w:tcPr>
          <w:p w14:paraId="08AACC4E" w14:textId="77777777" w:rsidR="00331B7B" w:rsidRPr="00331B7B" w:rsidRDefault="00331B7B" w:rsidP="006F5F60">
            <w:pPr>
              <w:spacing w:line="360" w:lineRule="auto"/>
              <w:ind w:right="57"/>
              <w:jc w:val="center"/>
              <w:rPr>
                <w:rFonts w:ascii="Calibri" w:hAnsi="Calibri"/>
                <w:bCs/>
                <w:color w:val="000000" w:themeColor="text1"/>
                <w:sz w:val="18"/>
                <w:szCs w:val="18"/>
                <w:lang w:eastAsia="it-IT"/>
              </w:rPr>
            </w:pPr>
            <w:r w:rsidRPr="00331B7B">
              <w:rPr>
                <w:rFonts w:ascii="Calibri" w:hAnsi="Calibri"/>
                <w:bCs/>
                <w:color w:val="000000" w:themeColor="text1"/>
                <w:sz w:val="18"/>
                <w:szCs w:val="18"/>
                <w:lang w:eastAsia="it-IT"/>
              </w:rPr>
              <w:t>2020</w:t>
            </w:r>
          </w:p>
        </w:tc>
        <w:tc>
          <w:tcPr>
            <w:tcW w:w="1151" w:type="dxa"/>
            <w:shd w:val="clear" w:color="auto" w:fill="E7E6E6"/>
          </w:tcPr>
          <w:p w14:paraId="1B6C8403" w14:textId="77777777" w:rsidR="00331B7B" w:rsidRPr="00331B7B" w:rsidRDefault="00331B7B" w:rsidP="006F5F60">
            <w:pPr>
              <w:spacing w:line="360" w:lineRule="auto"/>
              <w:ind w:right="57"/>
              <w:jc w:val="center"/>
              <w:rPr>
                <w:rFonts w:ascii="Calibri" w:hAnsi="Calibri"/>
                <w:bCs/>
                <w:color w:val="000000" w:themeColor="text1"/>
                <w:sz w:val="18"/>
                <w:szCs w:val="18"/>
                <w:lang w:eastAsia="it-IT"/>
              </w:rPr>
            </w:pPr>
            <w:r w:rsidRPr="00331B7B">
              <w:rPr>
                <w:rFonts w:ascii="Calibri" w:hAnsi="Calibri"/>
                <w:bCs/>
                <w:color w:val="000000" w:themeColor="text1"/>
                <w:sz w:val="18"/>
                <w:szCs w:val="18"/>
                <w:lang w:eastAsia="it-IT"/>
              </w:rPr>
              <w:t>2021</w:t>
            </w:r>
          </w:p>
        </w:tc>
        <w:tc>
          <w:tcPr>
            <w:tcW w:w="1151" w:type="dxa"/>
            <w:shd w:val="clear" w:color="auto" w:fill="E7E6E6"/>
          </w:tcPr>
          <w:p w14:paraId="2D1118FE" w14:textId="77777777" w:rsidR="00331B7B" w:rsidRPr="00331B7B" w:rsidRDefault="00331B7B" w:rsidP="006F5F60">
            <w:pPr>
              <w:spacing w:line="360" w:lineRule="auto"/>
              <w:ind w:right="57"/>
              <w:jc w:val="center"/>
              <w:rPr>
                <w:rFonts w:ascii="Calibri" w:hAnsi="Calibri"/>
                <w:bCs/>
                <w:color w:val="000000" w:themeColor="text1"/>
                <w:sz w:val="18"/>
                <w:szCs w:val="18"/>
                <w:lang w:eastAsia="it-IT"/>
              </w:rPr>
            </w:pPr>
            <w:r w:rsidRPr="00331B7B">
              <w:rPr>
                <w:rFonts w:ascii="Calibri" w:hAnsi="Calibri"/>
                <w:bCs/>
                <w:color w:val="000000" w:themeColor="text1"/>
                <w:sz w:val="18"/>
                <w:szCs w:val="18"/>
                <w:lang w:eastAsia="it-IT"/>
              </w:rPr>
              <w:t>2019</w:t>
            </w:r>
          </w:p>
        </w:tc>
        <w:tc>
          <w:tcPr>
            <w:tcW w:w="1152" w:type="dxa"/>
            <w:shd w:val="clear" w:color="auto" w:fill="E7E6E6"/>
          </w:tcPr>
          <w:p w14:paraId="03F8A111" w14:textId="77777777" w:rsidR="00331B7B" w:rsidRPr="00331B7B" w:rsidRDefault="00331B7B" w:rsidP="006F5F60">
            <w:pPr>
              <w:spacing w:line="360" w:lineRule="auto"/>
              <w:ind w:right="57"/>
              <w:jc w:val="center"/>
              <w:rPr>
                <w:rFonts w:ascii="Calibri" w:hAnsi="Calibri"/>
                <w:bCs/>
                <w:color w:val="000000" w:themeColor="text1"/>
                <w:sz w:val="18"/>
                <w:szCs w:val="18"/>
                <w:lang w:eastAsia="it-IT"/>
              </w:rPr>
            </w:pPr>
            <w:r w:rsidRPr="00331B7B">
              <w:rPr>
                <w:rFonts w:ascii="Calibri" w:hAnsi="Calibri"/>
                <w:bCs/>
                <w:color w:val="000000" w:themeColor="text1"/>
                <w:sz w:val="18"/>
                <w:szCs w:val="18"/>
                <w:lang w:eastAsia="it-IT"/>
              </w:rPr>
              <w:t>2020</w:t>
            </w:r>
          </w:p>
        </w:tc>
        <w:tc>
          <w:tcPr>
            <w:tcW w:w="2341" w:type="dxa"/>
            <w:shd w:val="clear" w:color="auto" w:fill="E7E6E6"/>
          </w:tcPr>
          <w:p w14:paraId="7447C604" w14:textId="77777777" w:rsidR="00331B7B" w:rsidRPr="00331B7B" w:rsidRDefault="00331B7B" w:rsidP="006F5F60">
            <w:pPr>
              <w:spacing w:line="360" w:lineRule="auto"/>
              <w:ind w:right="57"/>
              <w:jc w:val="center"/>
              <w:rPr>
                <w:rFonts w:ascii="Calibri" w:hAnsi="Calibri"/>
                <w:bCs/>
                <w:color w:val="000000" w:themeColor="text1"/>
                <w:sz w:val="18"/>
                <w:szCs w:val="18"/>
                <w:lang w:eastAsia="it-IT"/>
              </w:rPr>
            </w:pPr>
            <w:r w:rsidRPr="00331B7B">
              <w:rPr>
                <w:rFonts w:ascii="Calibri" w:hAnsi="Calibri"/>
                <w:bCs/>
                <w:color w:val="000000" w:themeColor="text1"/>
                <w:sz w:val="18"/>
                <w:szCs w:val="18"/>
                <w:lang w:eastAsia="it-IT"/>
              </w:rPr>
              <w:t>2021</w:t>
            </w:r>
          </w:p>
        </w:tc>
      </w:tr>
      <w:tr w:rsidR="00331B7B" w:rsidRPr="00331B7B" w14:paraId="2F7C5E29" w14:textId="77777777" w:rsidTr="00331B7B">
        <w:tc>
          <w:tcPr>
            <w:tcW w:w="1542" w:type="dxa"/>
            <w:shd w:val="clear" w:color="auto" w:fill="D0CECE"/>
          </w:tcPr>
          <w:p w14:paraId="7469AB66" w14:textId="77777777" w:rsidR="00331B7B" w:rsidRPr="00331B7B" w:rsidRDefault="00331B7B" w:rsidP="006F5F60">
            <w:pPr>
              <w:spacing w:line="360" w:lineRule="auto"/>
              <w:ind w:right="57"/>
              <w:jc w:val="both"/>
              <w:rPr>
                <w:rFonts w:ascii="Calibri" w:hAnsi="Calibri"/>
                <w:b/>
                <w:bCs/>
                <w:color w:val="000000" w:themeColor="text1"/>
                <w:sz w:val="18"/>
                <w:szCs w:val="18"/>
                <w:lang w:eastAsia="it-IT"/>
              </w:rPr>
            </w:pPr>
            <w:r w:rsidRPr="00331B7B">
              <w:rPr>
                <w:rFonts w:ascii="Calibri" w:hAnsi="Calibri"/>
                <w:b/>
                <w:bCs/>
                <w:color w:val="000000" w:themeColor="text1"/>
                <w:sz w:val="18"/>
                <w:szCs w:val="18"/>
                <w:lang w:eastAsia="it-IT"/>
              </w:rPr>
              <w:t>Dirigenti</w:t>
            </w:r>
          </w:p>
        </w:tc>
        <w:tc>
          <w:tcPr>
            <w:tcW w:w="1151" w:type="dxa"/>
            <w:shd w:val="clear" w:color="auto" w:fill="E7E6E6"/>
          </w:tcPr>
          <w:p w14:paraId="14E16C15" w14:textId="77777777" w:rsidR="00331B7B" w:rsidRPr="00331B7B" w:rsidRDefault="00331B7B" w:rsidP="006F5F60">
            <w:pPr>
              <w:spacing w:line="360" w:lineRule="auto"/>
              <w:ind w:right="57"/>
              <w:jc w:val="center"/>
              <w:rPr>
                <w:rFonts w:ascii="Calibri" w:hAnsi="Calibri"/>
                <w:bCs/>
                <w:color w:val="000000" w:themeColor="text1"/>
                <w:sz w:val="18"/>
                <w:szCs w:val="18"/>
                <w:lang w:eastAsia="it-IT"/>
              </w:rPr>
            </w:pPr>
            <w:r w:rsidRPr="00331B7B">
              <w:rPr>
                <w:rFonts w:ascii="Calibri" w:hAnsi="Calibri"/>
                <w:color w:val="000000" w:themeColor="text1"/>
                <w:sz w:val="18"/>
                <w:szCs w:val="18"/>
                <w:lang w:eastAsia="it-IT"/>
              </w:rPr>
              <w:t>54</w:t>
            </w:r>
          </w:p>
        </w:tc>
        <w:tc>
          <w:tcPr>
            <w:tcW w:w="1151" w:type="dxa"/>
            <w:shd w:val="clear" w:color="auto" w:fill="E7E6E6"/>
          </w:tcPr>
          <w:p w14:paraId="26FC2298" w14:textId="77777777" w:rsidR="00331B7B" w:rsidRPr="00331B7B" w:rsidRDefault="00331B7B" w:rsidP="006F5F60">
            <w:pPr>
              <w:spacing w:line="360" w:lineRule="auto"/>
              <w:ind w:right="57"/>
              <w:jc w:val="center"/>
              <w:rPr>
                <w:rFonts w:ascii="Calibri" w:hAnsi="Calibri"/>
                <w:bCs/>
                <w:color w:val="000000" w:themeColor="text1"/>
                <w:sz w:val="18"/>
                <w:szCs w:val="18"/>
                <w:lang w:eastAsia="it-IT"/>
              </w:rPr>
            </w:pPr>
            <w:r w:rsidRPr="00331B7B">
              <w:rPr>
                <w:rFonts w:ascii="Calibri" w:hAnsi="Calibri"/>
                <w:color w:val="000000" w:themeColor="text1"/>
                <w:sz w:val="18"/>
                <w:szCs w:val="18"/>
                <w:lang w:eastAsia="it-IT"/>
              </w:rPr>
              <w:t>55</w:t>
            </w:r>
          </w:p>
        </w:tc>
        <w:tc>
          <w:tcPr>
            <w:tcW w:w="1151" w:type="dxa"/>
            <w:shd w:val="clear" w:color="auto" w:fill="E7E6E6"/>
          </w:tcPr>
          <w:p w14:paraId="31C7E734" w14:textId="77777777" w:rsidR="00331B7B" w:rsidRPr="00331B7B" w:rsidRDefault="00331B7B" w:rsidP="006F5F60">
            <w:pPr>
              <w:spacing w:line="360" w:lineRule="auto"/>
              <w:ind w:right="57"/>
              <w:jc w:val="center"/>
              <w:rPr>
                <w:rFonts w:ascii="Calibri" w:hAnsi="Calibri"/>
                <w:bCs/>
                <w:color w:val="000000" w:themeColor="text1"/>
                <w:sz w:val="18"/>
                <w:szCs w:val="18"/>
                <w:lang w:eastAsia="it-IT"/>
              </w:rPr>
            </w:pPr>
            <w:r w:rsidRPr="00331B7B">
              <w:rPr>
                <w:rFonts w:ascii="Calibri" w:hAnsi="Calibri"/>
                <w:color w:val="000000" w:themeColor="text1"/>
                <w:sz w:val="18"/>
                <w:szCs w:val="18"/>
                <w:lang w:eastAsia="it-IT"/>
              </w:rPr>
              <w:t>52</w:t>
            </w:r>
          </w:p>
        </w:tc>
        <w:tc>
          <w:tcPr>
            <w:tcW w:w="1151" w:type="dxa"/>
            <w:shd w:val="clear" w:color="auto" w:fill="E7E6E6"/>
          </w:tcPr>
          <w:p w14:paraId="5CFD8264" w14:textId="77777777" w:rsidR="00331B7B" w:rsidRPr="00331B7B" w:rsidRDefault="00331B7B" w:rsidP="006F5F60">
            <w:pPr>
              <w:spacing w:line="360" w:lineRule="auto"/>
              <w:ind w:right="57"/>
              <w:jc w:val="center"/>
              <w:rPr>
                <w:rFonts w:ascii="Calibri" w:hAnsi="Calibri"/>
                <w:bCs/>
                <w:color w:val="000000" w:themeColor="text1"/>
                <w:sz w:val="18"/>
                <w:szCs w:val="18"/>
                <w:lang w:eastAsia="it-IT"/>
              </w:rPr>
            </w:pPr>
            <w:r w:rsidRPr="00331B7B">
              <w:rPr>
                <w:rFonts w:ascii="Calibri" w:hAnsi="Calibri"/>
                <w:color w:val="000000" w:themeColor="text1"/>
                <w:sz w:val="18"/>
                <w:szCs w:val="18"/>
                <w:lang w:eastAsia="it-IT"/>
              </w:rPr>
              <w:t>17</w:t>
            </w:r>
          </w:p>
        </w:tc>
        <w:tc>
          <w:tcPr>
            <w:tcW w:w="1152" w:type="dxa"/>
            <w:shd w:val="clear" w:color="auto" w:fill="E7E6E6"/>
          </w:tcPr>
          <w:p w14:paraId="048021A1" w14:textId="77777777" w:rsidR="00331B7B" w:rsidRPr="00331B7B" w:rsidRDefault="00331B7B" w:rsidP="006F5F60">
            <w:pPr>
              <w:spacing w:line="360" w:lineRule="auto"/>
              <w:ind w:right="57"/>
              <w:jc w:val="center"/>
              <w:rPr>
                <w:rFonts w:ascii="Calibri" w:hAnsi="Calibri"/>
                <w:bCs/>
                <w:color w:val="000000" w:themeColor="text1"/>
                <w:sz w:val="18"/>
                <w:szCs w:val="18"/>
                <w:lang w:eastAsia="it-IT"/>
              </w:rPr>
            </w:pPr>
            <w:r w:rsidRPr="00331B7B">
              <w:rPr>
                <w:rFonts w:ascii="Calibri" w:hAnsi="Calibri"/>
                <w:color w:val="000000" w:themeColor="text1"/>
                <w:sz w:val="18"/>
                <w:szCs w:val="18"/>
                <w:lang w:eastAsia="it-IT"/>
              </w:rPr>
              <w:t>18</w:t>
            </w:r>
          </w:p>
        </w:tc>
        <w:tc>
          <w:tcPr>
            <w:tcW w:w="2341" w:type="dxa"/>
            <w:shd w:val="clear" w:color="auto" w:fill="E7E6E6"/>
          </w:tcPr>
          <w:p w14:paraId="4296D529" w14:textId="77777777" w:rsidR="00331B7B" w:rsidRPr="00331B7B" w:rsidRDefault="00331B7B" w:rsidP="006F5F60">
            <w:pPr>
              <w:spacing w:line="360" w:lineRule="auto"/>
              <w:ind w:right="57"/>
              <w:jc w:val="center"/>
              <w:rPr>
                <w:rFonts w:ascii="Calibri" w:hAnsi="Calibri"/>
                <w:bCs/>
                <w:color w:val="000000" w:themeColor="text1"/>
                <w:sz w:val="18"/>
                <w:szCs w:val="18"/>
                <w:lang w:eastAsia="it-IT"/>
              </w:rPr>
            </w:pPr>
            <w:r w:rsidRPr="00331B7B">
              <w:rPr>
                <w:rFonts w:ascii="Calibri" w:hAnsi="Calibri"/>
                <w:bCs/>
                <w:color w:val="000000" w:themeColor="text1"/>
                <w:sz w:val="18"/>
                <w:szCs w:val="18"/>
                <w:lang w:eastAsia="it-IT"/>
              </w:rPr>
              <w:t>15</w:t>
            </w:r>
          </w:p>
        </w:tc>
      </w:tr>
      <w:tr w:rsidR="00331B7B" w:rsidRPr="00331B7B" w14:paraId="4F679746" w14:textId="77777777" w:rsidTr="00331B7B">
        <w:tc>
          <w:tcPr>
            <w:tcW w:w="1542" w:type="dxa"/>
            <w:shd w:val="clear" w:color="auto" w:fill="D0CECE"/>
          </w:tcPr>
          <w:p w14:paraId="513523AF" w14:textId="77777777" w:rsidR="00331B7B" w:rsidRPr="00331B7B" w:rsidRDefault="00331B7B" w:rsidP="006F5F60">
            <w:pPr>
              <w:spacing w:line="360" w:lineRule="auto"/>
              <w:ind w:right="57"/>
              <w:jc w:val="both"/>
              <w:rPr>
                <w:rFonts w:ascii="Calibri" w:hAnsi="Calibri"/>
                <w:b/>
                <w:bCs/>
                <w:color w:val="000000" w:themeColor="text1"/>
                <w:sz w:val="18"/>
                <w:szCs w:val="18"/>
                <w:lang w:eastAsia="it-IT"/>
              </w:rPr>
            </w:pPr>
            <w:r w:rsidRPr="00331B7B">
              <w:rPr>
                <w:rFonts w:ascii="Calibri" w:hAnsi="Calibri"/>
                <w:b/>
                <w:bCs/>
                <w:color w:val="000000" w:themeColor="text1"/>
                <w:sz w:val="18"/>
                <w:szCs w:val="18"/>
                <w:lang w:eastAsia="it-IT"/>
              </w:rPr>
              <w:t>Quadri</w:t>
            </w:r>
          </w:p>
        </w:tc>
        <w:tc>
          <w:tcPr>
            <w:tcW w:w="1151" w:type="dxa"/>
            <w:shd w:val="clear" w:color="auto" w:fill="E7E6E6"/>
          </w:tcPr>
          <w:p w14:paraId="7EA6D3C7" w14:textId="77777777" w:rsidR="00331B7B" w:rsidRPr="00331B7B" w:rsidRDefault="00331B7B" w:rsidP="006F5F60">
            <w:pPr>
              <w:spacing w:line="360" w:lineRule="auto"/>
              <w:ind w:right="57"/>
              <w:jc w:val="center"/>
              <w:rPr>
                <w:rFonts w:ascii="Calibri" w:hAnsi="Calibri"/>
                <w:bCs/>
                <w:color w:val="000000" w:themeColor="text1"/>
                <w:sz w:val="18"/>
                <w:szCs w:val="18"/>
                <w:lang w:eastAsia="it-IT"/>
              </w:rPr>
            </w:pPr>
            <w:r w:rsidRPr="00331B7B">
              <w:rPr>
                <w:rFonts w:ascii="Calibri" w:hAnsi="Calibri"/>
                <w:color w:val="000000" w:themeColor="text1"/>
                <w:sz w:val="18"/>
                <w:szCs w:val="18"/>
                <w:lang w:eastAsia="it-IT"/>
              </w:rPr>
              <w:t>46</w:t>
            </w:r>
          </w:p>
        </w:tc>
        <w:tc>
          <w:tcPr>
            <w:tcW w:w="1151" w:type="dxa"/>
            <w:shd w:val="clear" w:color="auto" w:fill="E7E6E6"/>
          </w:tcPr>
          <w:p w14:paraId="61176603" w14:textId="77777777" w:rsidR="00331B7B" w:rsidRPr="00331B7B" w:rsidRDefault="00331B7B" w:rsidP="006F5F60">
            <w:pPr>
              <w:spacing w:line="360" w:lineRule="auto"/>
              <w:ind w:right="57"/>
              <w:jc w:val="center"/>
              <w:rPr>
                <w:rFonts w:ascii="Calibri" w:hAnsi="Calibri"/>
                <w:bCs/>
                <w:color w:val="000000" w:themeColor="text1"/>
                <w:sz w:val="18"/>
                <w:szCs w:val="18"/>
                <w:lang w:eastAsia="it-IT"/>
              </w:rPr>
            </w:pPr>
            <w:r w:rsidRPr="00331B7B">
              <w:rPr>
                <w:rFonts w:ascii="Calibri" w:hAnsi="Calibri"/>
                <w:color w:val="000000" w:themeColor="text1"/>
                <w:sz w:val="18"/>
                <w:szCs w:val="18"/>
                <w:lang w:eastAsia="it-IT"/>
              </w:rPr>
              <w:t>47</w:t>
            </w:r>
          </w:p>
        </w:tc>
        <w:tc>
          <w:tcPr>
            <w:tcW w:w="1151" w:type="dxa"/>
            <w:shd w:val="clear" w:color="auto" w:fill="E7E6E6"/>
          </w:tcPr>
          <w:p w14:paraId="59B17082" w14:textId="77777777" w:rsidR="00331B7B" w:rsidRPr="00331B7B" w:rsidRDefault="00331B7B" w:rsidP="006F5F60">
            <w:pPr>
              <w:spacing w:line="360" w:lineRule="auto"/>
              <w:ind w:right="57"/>
              <w:jc w:val="center"/>
              <w:rPr>
                <w:rFonts w:ascii="Calibri" w:hAnsi="Calibri"/>
                <w:bCs/>
                <w:color w:val="000000" w:themeColor="text1"/>
                <w:sz w:val="18"/>
                <w:szCs w:val="18"/>
                <w:lang w:eastAsia="it-IT"/>
              </w:rPr>
            </w:pPr>
            <w:r w:rsidRPr="00331B7B">
              <w:rPr>
                <w:rFonts w:ascii="Calibri" w:hAnsi="Calibri"/>
                <w:color w:val="000000" w:themeColor="text1"/>
                <w:sz w:val="18"/>
                <w:szCs w:val="18"/>
                <w:lang w:eastAsia="it-IT"/>
              </w:rPr>
              <w:t>47</w:t>
            </w:r>
          </w:p>
        </w:tc>
        <w:tc>
          <w:tcPr>
            <w:tcW w:w="1151" w:type="dxa"/>
            <w:shd w:val="clear" w:color="auto" w:fill="E7E6E6"/>
          </w:tcPr>
          <w:p w14:paraId="073608E4" w14:textId="77777777" w:rsidR="00331B7B" w:rsidRPr="00331B7B" w:rsidRDefault="00331B7B" w:rsidP="006F5F60">
            <w:pPr>
              <w:spacing w:line="360" w:lineRule="auto"/>
              <w:ind w:right="57"/>
              <w:jc w:val="center"/>
              <w:rPr>
                <w:rFonts w:ascii="Calibri" w:hAnsi="Calibri"/>
                <w:bCs/>
                <w:color w:val="000000" w:themeColor="text1"/>
                <w:sz w:val="18"/>
                <w:szCs w:val="18"/>
                <w:lang w:eastAsia="it-IT"/>
              </w:rPr>
            </w:pPr>
            <w:r w:rsidRPr="00331B7B">
              <w:rPr>
                <w:rFonts w:ascii="Calibri" w:hAnsi="Calibri"/>
                <w:color w:val="000000" w:themeColor="text1"/>
                <w:sz w:val="18"/>
                <w:szCs w:val="18"/>
                <w:lang w:eastAsia="it-IT"/>
              </w:rPr>
              <w:t>13</w:t>
            </w:r>
          </w:p>
        </w:tc>
        <w:tc>
          <w:tcPr>
            <w:tcW w:w="1152" w:type="dxa"/>
            <w:shd w:val="clear" w:color="auto" w:fill="E7E6E6"/>
          </w:tcPr>
          <w:p w14:paraId="3EFFC841" w14:textId="77777777" w:rsidR="00331B7B" w:rsidRPr="00331B7B" w:rsidRDefault="00331B7B" w:rsidP="006F5F60">
            <w:pPr>
              <w:spacing w:line="360" w:lineRule="auto"/>
              <w:ind w:right="57"/>
              <w:jc w:val="center"/>
              <w:rPr>
                <w:rFonts w:ascii="Calibri" w:hAnsi="Calibri"/>
                <w:bCs/>
                <w:color w:val="000000" w:themeColor="text1"/>
                <w:sz w:val="18"/>
                <w:szCs w:val="18"/>
                <w:lang w:eastAsia="it-IT"/>
              </w:rPr>
            </w:pPr>
            <w:r w:rsidRPr="00331B7B">
              <w:rPr>
                <w:rFonts w:ascii="Calibri" w:hAnsi="Calibri"/>
                <w:color w:val="000000" w:themeColor="text1"/>
                <w:sz w:val="18"/>
                <w:szCs w:val="18"/>
                <w:lang w:eastAsia="it-IT"/>
              </w:rPr>
              <w:t>14</w:t>
            </w:r>
          </w:p>
        </w:tc>
        <w:tc>
          <w:tcPr>
            <w:tcW w:w="2341" w:type="dxa"/>
            <w:shd w:val="clear" w:color="auto" w:fill="E7E6E6"/>
          </w:tcPr>
          <w:p w14:paraId="75B22CA4" w14:textId="77777777" w:rsidR="00331B7B" w:rsidRPr="00331B7B" w:rsidRDefault="00331B7B" w:rsidP="006F5F60">
            <w:pPr>
              <w:spacing w:line="360" w:lineRule="auto"/>
              <w:ind w:right="57"/>
              <w:jc w:val="center"/>
              <w:rPr>
                <w:rFonts w:ascii="Calibri" w:hAnsi="Calibri"/>
                <w:bCs/>
                <w:color w:val="000000" w:themeColor="text1"/>
                <w:sz w:val="18"/>
                <w:szCs w:val="18"/>
                <w:lang w:eastAsia="it-IT"/>
              </w:rPr>
            </w:pPr>
            <w:r w:rsidRPr="00331B7B">
              <w:rPr>
                <w:rFonts w:ascii="Calibri" w:hAnsi="Calibri"/>
                <w:bCs/>
                <w:color w:val="000000" w:themeColor="text1"/>
                <w:sz w:val="18"/>
                <w:szCs w:val="18"/>
                <w:lang w:eastAsia="it-IT"/>
              </w:rPr>
              <w:t>15</w:t>
            </w:r>
          </w:p>
        </w:tc>
      </w:tr>
      <w:tr w:rsidR="00331B7B" w:rsidRPr="00331B7B" w14:paraId="435E61EA" w14:textId="77777777" w:rsidTr="00331B7B">
        <w:tc>
          <w:tcPr>
            <w:tcW w:w="1542" w:type="dxa"/>
            <w:shd w:val="clear" w:color="auto" w:fill="D0CECE"/>
          </w:tcPr>
          <w:p w14:paraId="54233078" w14:textId="77777777" w:rsidR="00331B7B" w:rsidRPr="00331B7B" w:rsidRDefault="00331B7B" w:rsidP="006F5F60">
            <w:pPr>
              <w:spacing w:line="360" w:lineRule="auto"/>
              <w:ind w:right="57"/>
              <w:jc w:val="both"/>
              <w:rPr>
                <w:rFonts w:ascii="Calibri" w:hAnsi="Calibri"/>
                <w:b/>
                <w:bCs/>
                <w:color w:val="000000" w:themeColor="text1"/>
                <w:sz w:val="18"/>
                <w:szCs w:val="18"/>
                <w:lang w:eastAsia="it-IT"/>
              </w:rPr>
            </w:pPr>
            <w:r w:rsidRPr="00331B7B">
              <w:rPr>
                <w:rFonts w:ascii="Calibri" w:hAnsi="Calibri"/>
                <w:b/>
                <w:bCs/>
                <w:color w:val="000000" w:themeColor="text1"/>
                <w:sz w:val="18"/>
                <w:szCs w:val="18"/>
                <w:lang w:eastAsia="it-IT"/>
              </w:rPr>
              <w:t>Impiegati</w:t>
            </w:r>
          </w:p>
        </w:tc>
        <w:tc>
          <w:tcPr>
            <w:tcW w:w="1151" w:type="dxa"/>
            <w:shd w:val="clear" w:color="auto" w:fill="E7E6E6"/>
          </w:tcPr>
          <w:p w14:paraId="650755D7" w14:textId="77777777" w:rsidR="00331B7B" w:rsidRPr="00331B7B" w:rsidRDefault="00331B7B" w:rsidP="006F5F60">
            <w:pPr>
              <w:spacing w:line="360" w:lineRule="auto"/>
              <w:ind w:right="57"/>
              <w:jc w:val="center"/>
              <w:rPr>
                <w:rFonts w:ascii="Calibri" w:hAnsi="Calibri"/>
                <w:bCs/>
                <w:color w:val="000000" w:themeColor="text1"/>
                <w:sz w:val="18"/>
                <w:szCs w:val="18"/>
                <w:lang w:eastAsia="it-IT"/>
              </w:rPr>
            </w:pPr>
            <w:r w:rsidRPr="00331B7B">
              <w:rPr>
                <w:rFonts w:ascii="Calibri" w:hAnsi="Calibri"/>
                <w:color w:val="000000" w:themeColor="text1"/>
                <w:sz w:val="18"/>
                <w:szCs w:val="18"/>
                <w:lang w:eastAsia="it-IT"/>
              </w:rPr>
              <w:t>42</w:t>
            </w:r>
          </w:p>
        </w:tc>
        <w:tc>
          <w:tcPr>
            <w:tcW w:w="1151" w:type="dxa"/>
            <w:shd w:val="clear" w:color="auto" w:fill="E7E6E6"/>
          </w:tcPr>
          <w:p w14:paraId="657508AC" w14:textId="77777777" w:rsidR="00331B7B" w:rsidRPr="00331B7B" w:rsidRDefault="00331B7B" w:rsidP="006F5F60">
            <w:pPr>
              <w:spacing w:line="360" w:lineRule="auto"/>
              <w:ind w:right="57"/>
              <w:jc w:val="center"/>
              <w:rPr>
                <w:rFonts w:ascii="Calibri" w:hAnsi="Calibri"/>
                <w:bCs/>
                <w:color w:val="000000" w:themeColor="text1"/>
                <w:sz w:val="18"/>
                <w:szCs w:val="18"/>
                <w:lang w:eastAsia="it-IT"/>
              </w:rPr>
            </w:pPr>
            <w:r w:rsidRPr="00331B7B">
              <w:rPr>
                <w:rFonts w:ascii="Calibri" w:hAnsi="Calibri"/>
                <w:color w:val="000000" w:themeColor="text1"/>
                <w:sz w:val="18"/>
                <w:szCs w:val="18"/>
                <w:lang w:eastAsia="it-IT"/>
              </w:rPr>
              <w:t>43</w:t>
            </w:r>
          </w:p>
        </w:tc>
        <w:tc>
          <w:tcPr>
            <w:tcW w:w="1151" w:type="dxa"/>
            <w:shd w:val="clear" w:color="auto" w:fill="E7E6E6"/>
          </w:tcPr>
          <w:p w14:paraId="55DA9A15" w14:textId="77777777" w:rsidR="00331B7B" w:rsidRPr="00331B7B" w:rsidRDefault="00331B7B" w:rsidP="006F5F60">
            <w:pPr>
              <w:spacing w:line="360" w:lineRule="auto"/>
              <w:ind w:right="57"/>
              <w:jc w:val="center"/>
              <w:rPr>
                <w:rFonts w:ascii="Calibri" w:hAnsi="Calibri"/>
                <w:bCs/>
                <w:color w:val="000000" w:themeColor="text1"/>
                <w:sz w:val="18"/>
                <w:szCs w:val="18"/>
                <w:lang w:eastAsia="it-IT"/>
              </w:rPr>
            </w:pPr>
            <w:r w:rsidRPr="00331B7B">
              <w:rPr>
                <w:rFonts w:ascii="Calibri" w:hAnsi="Calibri"/>
                <w:color w:val="000000" w:themeColor="text1"/>
                <w:sz w:val="18"/>
                <w:szCs w:val="18"/>
                <w:lang w:eastAsia="it-IT"/>
              </w:rPr>
              <w:t>43</w:t>
            </w:r>
          </w:p>
        </w:tc>
        <w:tc>
          <w:tcPr>
            <w:tcW w:w="1151" w:type="dxa"/>
            <w:shd w:val="clear" w:color="auto" w:fill="E7E6E6"/>
          </w:tcPr>
          <w:p w14:paraId="3E55EB2D" w14:textId="77777777" w:rsidR="00331B7B" w:rsidRPr="00331B7B" w:rsidRDefault="00331B7B" w:rsidP="006F5F60">
            <w:pPr>
              <w:spacing w:line="360" w:lineRule="auto"/>
              <w:ind w:right="57"/>
              <w:jc w:val="center"/>
              <w:rPr>
                <w:rFonts w:ascii="Calibri" w:hAnsi="Calibri"/>
                <w:bCs/>
                <w:color w:val="000000" w:themeColor="text1"/>
                <w:sz w:val="18"/>
                <w:szCs w:val="18"/>
                <w:lang w:eastAsia="it-IT"/>
              </w:rPr>
            </w:pPr>
            <w:r w:rsidRPr="00331B7B">
              <w:rPr>
                <w:rFonts w:ascii="Calibri" w:hAnsi="Calibri"/>
                <w:color w:val="000000" w:themeColor="text1"/>
                <w:sz w:val="18"/>
                <w:szCs w:val="18"/>
                <w:lang w:eastAsia="it-IT"/>
              </w:rPr>
              <w:t>9</w:t>
            </w:r>
          </w:p>
        </w:tc>
        <w:tc>
          <w:tcPr>
            <w:tcW w:w="1152" w:type="dxa"/>
            <w:shd w:val="clear" w:color="auto" w:fill="E7E6E6"/>
          </w:tcPr>
          <w:p w14:paraId="012BE522" w14:textId="77777777" w:rsidR="00331B7B" w:rsidRPr="00331B7B" w:rsidRDefault="00331B7B" w:rsidP="006F5F60">
            <w:pPr>
              <w:spacing w:line="360" w:lineRule="auto"/>
              <w:ind w:right="57"/>
              <w:jc w:val="center"/>
              <w:rPr>
                <w:rFonts w:ascii="Calibri" w:hAnsi="Calibri"/>
                <w:bCs/>
                <w:color w:val="000000" w:themeColor="text1"/>
                <w:sz w:val="18"/>
                <w:szCs w:val="18"/>
                <w:lang w:eastAsia="it-IT"/>
              </w:rPr>
            </w:pPr>
            <w:r w:rsidRPr="00331B7B">
              <w:rPr>
                <w:rFonts w:ascii="Calibri" w:hAnsi="Calibri"/>
                <w:color w:val="000000" w:themeColor="text1"/>
                <w:sz w:val="18"/>
                <w:szCs w:val="18"/>
                <w:lang w:eastAsia="it-IT"/>
              </w:rPr>
              <w:t>10</w:t>
            </w:r>
          </w:p>
        </w:tc>
        <w:tc>
          <w:tcPr>
            <w:tcW w:w="2341" w:type="dxa"/>
            <w:shd w:val="clear" w:color="auto" w:fill="E7E6E6"/>
          </w:tcPr>
          <w:p w14:paraId="0C01FD48" w14:textId="77777777" w:rsidR="00331B7B" w:rsidRPr="00331B7B" w:rsidRDefault="00331B7B" w:rsidP="006F5F60">
            <w:pPr>
              <w:spacing w:line="360" w:lineRule="auto"/>
              <w:ind w:right="57"/>
              <w:jc w:val="center"/>
              <w:rPr>
                <w:rFonts w:ascii="Calibri" w:hAnsi="Calibri"/>
                <w:bCs/>
                <w:color w:val="000000" w:themeColor="text1"/>
                <w:sz w:val="18"/>
                <w:szCs w:val="18"/>
                <w:lang w:eastAsia="it-IT"/>
              </w:rPr>
            </w:pPr>
            <w:r w:rsidRPr="00331B7B">
              <w:rPr>
                <w:rFonts w:ascii="Calibri" w:hAnsi="Calibri"/>
                <w:bCs/>
                <w:color w:val="000000" w:themeColor="text1"/>
                <w:sz w:val="18"/>
                <w:szCs w:val="18"/>
                <w:lang w:eastAsia="it-IT"/>
              </w:rPr>
              <w:t>11</w:t>
            </w:r>
          </w:p>
        </w:tc>
      </w:tr>
      <w:tr w:rsidR="00DF548F" w:rsidRPr="00331B7B" w14:paraId="7A0FE142" w14:textId="77777777" w:rsidTr="00DF548F">
        <w:tc>
          <w:tcPr>
            <w:tcW w:w="9639" w:type="dxa"/>
            <w:gridSpan w:val="7"/>
            <w:shd w:val="clear" w:color="auto" w:fill="FFFFFF" w:themeFill="background1"/>
            <w:vAlign w:val="center"/>
          </w:tcPr>
          <w:p w14:paraId="502A190D" w14:textId="6A4AFA6E" w:rsidR="00DF548F" w:rsidRPr="00331B7B" w:rsidRDefault="00DF548F" w:rsidP="006F5F60">
            <w:pPr>
              <w:spacing w:line="360" w:lineRule="auto"/>
              <w:ind w:right="57"/>
              <w:jc w:val="center"/>
              <w:rPr>
                <w:rFonts w:ascii="Calibri" w:hAnsi="Calibri"/>
                <w:bCs/>
                <w:color w:val="000000" w:themeColor="text1"/>
                <w:sz w:val="18"/>
                <w:szCs w:val="18"/>
                <w:lang w:eastAsia="it-IT"/>
              </w:rPr>
            </w:pPr>
            <w:r>
              <w:rPr>
                <w:sz w:val="16"/>
                <w:szCs w:val="16"/>
              </w:rPr>
              <w:t>Tab. 3: Dinamiche della Pianta Organica dell’Autorità di Sistema Portuale del Mar Adriatico Settentrionale (2019/2021</w:t>
            </w:r>
            <w:r w:rsidR="00B82B11">
              <w:rPr>
                <w:sz w:val="16"/>
                <w:szCs w:val="16"/>
              </w:rPr>
              <w:t>)</w:t>
            </w:r>
          </w:p>
        </w:tc>
      </w:tr>
    </w:tbl>
    <w:p w14:paraId="16DF1A2D" w14:textId="081F091C" w:rsidR="00331B7B" w:rsidRDefault="00331B7B" w:rsidP="00331B7B">
      <w:pPr>
        <w:jc w:val="both"/>
      </w:pPr>
    </w:p>
    <w:p w14:paraId="07FBE926" w14:textId="77777777" w:rsidR="00331B7B" w:rsidRDefault="00331B7B" w:rsidP="00331B7B">
      <w:pPr>
        <w:jc w:val="both"/>
      </w:pPr>
      <w:r w:rsidRPr="00331B7B">
        <w:t>I tassi di assenza registrati nel periodo dal 2019 al 2021 sono indicati nell’istogramma di seguito riportato.</w:t>
      </w:r>
    </w:p>
    <w:p w14:paraId="662BFE24" w14:textId="1C241658" w:rsidR="00331B7B" w:rsidRDefault="00A549AF" w:rsidP="00331B7B">
      <w:pPr>
        <w:jc w:val="both"/>
      </w:pPr>
      <w:r>
        <w:rPr>
          <w:noProof/>
          <w:lang w:eastAsia="it-IT"/>
        </w:rPr>
        <mc:AlternateContent>
          <mc:Choice Requires="wps">
            <w:drawing>
              <wp:anchor distT="0" distB="0" distL="114300" distR="114300" simplePos="0" relativeHeight="251667456" behindDoc="0" locked="0" layoutInCell="1" allowOverlap="1" wp14:anchorId="6CC17C6C" wp14:editId="620B75D8">
                <wp:simplePos x="0" y="0"/>
                <wp:positionH relativeFrom="margin">
                  <wp:align>left</wp:align>
                </wp:positionH>
                <wp:positionV relativeFrom="paragraph">
                  <wp:posOffset>3503684</wp:posOffset>
                </wp:positionV>
                <wp:extent cx="6162950" cy="253706"/>
                <wp:effectExtent l="0" t="0" r="28575" b="13335"/>
                <wp:wrapNone/>
                <wp:docPr id="10" name="Casella di testo 10"/>
                <wp:cNvGraphicFramePr/>
                <a:graphic xmlns:a="http://schemas.openxmlformats.org/drawingml/2006/main">
                  <a:graphicData uri="http://schemas.microsoft.com/office/word/2010/wordprocessingShape">
                    <wps:wsp>
                      <wps:cNvSpPr txBox="1"/>
                      <wps:spPr>
                        <a:xfrm>
                          <a:off x="0" y="0"/>
                          <a:ext cx="6162950" cy="25370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801BE9B" w14:textId="0A6523E5" w:rsidR="00786640" w:rsidRPr="00A549AF" w:rsidRDefault="00786640" w:rsidP="00A549AF">
                            <w:pPr>
                              <w:rPr>
                                <w:sz w:val="16"/>
                                <w:szCs w:val="16"/>
                              </w:rPr>
                            </w:pPr>
                            <w:r>
                              <w:rPr>
                                <w:sz w:val="16"/>
                                <w:szCs w:val="16"/>
                              </w:rPr>
                              <w:t>Grafico 1: Tassi di assenza dell’Organico dell’Autorità di Sistema Portuale del Mar Adriatico Settentrionale (2019/2021)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6CC17C6C" id="Casella di testo 10" o:spid="_x0000_s1027" type="#_x0000_t202" style="position:absolute;left:0;text-align:left;margin-left:0;margin-top:275.9pt;width:485.25pt;height:20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" fillcolor="white [3201]" strokeweight=".5pt">
                <v:textbox>
                  <w:txbxContent>
                    <w:p w14:paraId="0801BE9B" w14:textId="0A6523E5" w:rsidR="00786640" w:rsidRPr="00A549AF" w:rsidRDefault="00786640" w:rsidP="00A549AF">
                      <w:pPr>
                        <w:rPr>
                          <w:sz w:val="16"/>
                          <w:szCs w:val="16"/>
                        </w:rPr>
                      </w:pPr>
                      <w:r>
                        <w:rPr>
                          <w:sz w:val="16"/>
                          <w:szCs w:val="16"/>
                        </w:rPr>
                        <w:t>Grafico 1: Tassi di assenza dell’Organico dell’Autorità di Sistema Portuale del Mar Adriatico Settentrionale (2019/2021)</w:t>
                      </w:r>
                    </w:p>
                  </w:txbxContent>
                </v:textbox>
                <w10:wrap anchorx="margin"/>
              </v:shape>
            </w:pict>
          </mc:Fallback>
        </mc:AlternateContent>
      </w:r>
      <w:r w:rsidR="00331B7B" w:rsidRPr="00CD7737">
        <w:rPr>
          <w:noProof/>
          <w:lang w:eastAsia="it-IT"/>
        </w:rPr>
        <w:drawing>
          <wp:inline distT="0" distB="0" distL="0" distR="0" wp14:anchorId="2695270B" wp14:editId="2FBCBCE4">
            <wp:extent cx="6157664" cy="3545205"/>
            <wp:effectExtent l="0" t="0" r="14605" b="17145"/>
            <wp:docPr id="2" name="Grafico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C7D8FC8" w14:textId="61A1ED93" w:rsidR="00A549AF" w:rsidRDefault="00A549AF" w:rsidP="00331B7B">
      <w:pPr>
        <w:jc w:val="both"/>
      </w:pPr>
    </w:p>
    <w:p w14:paraId="40C192C7" w14:textId="77777777" w:rsidR="00331B7B" w:rsidRDefault="00331B7B" w:rsidP="00331B7B">
      <w:pPr>
        <w:jc w:val="both"/>
      </w:pPr>
      <w:r>
        <w:t>Le assenze dal servizio sulle ore potenzialmente lavorabili, per ferie e maternità hanno trend simili negli ultimi due anni.</w:t>
      </w:r>
    </w:p>
    <w:p w14:paraId="5D28C51E" w14:textId="77777777" w:rsidR="00331B7B" w:rsidRDefault="00331B7B" w:rsidP="00331B7B">
      <w:pPr>
        <w:jc w:val="both"/>
      </w:pPr>
      <w:r>
        <w:lastRenderedPageBreak/>
        <w:t>Nell’anno 2021, si è verificato un calo di assenteismo per malattia ben al di sotto della soglia di riferimento del 4% indicata nel CCNL dei lavoratori dei porti (circa dieci giornate di assenza per malattia annue), portando il tasso di assenza al di sotto di quello del 2020.</w:t>
      </w:r>
    </w:p>
    <w:p w14:paraId="001EEE2A" w14:textId="77777777" w:rsidR="00331B7B" w:rsidRDefault="00331B7B" w:rsidP="00331B7B">
      <w:pPr>
        <w:jc w:val="both"/>
      </w:pPr>
      <w:r>
        <w:t>Per l’anno 2021, si rileva il seguente andamento suddiviso per strutture.</w:t>
      </w:r>
    </w:p>
    <w:tbl>
      <w:tblPr>
        <w:tblW w:w="96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84"/>
        <w:gridCol w:w="1571"/>
        <w:gridCol w:w="1262"/>
        <w:gridCol w:w="995"/>
        <w:gridCol w:w="1276"/>
        <w:gridCol w:w="1277"/>
        <w:gridCol w:w="991"/>
      </w:tblGrid>
      <w:tr w:rsidR="00331B7B" w:rsidRPr="00331B7B" w14:paraId="4DFADA77" w14:textId="77777777" w:rsidTr="000F0620">
        <w:trPr>
          <w:trHeight w:val="923"/>
          <w:jc w:val="center"/>
        </w:trPr>
        <w:tc>
          <w:tcPr>
            <w:tcW w:w="2284" w:type="dxa"/>
            <w:shd w:val="clear" w:color="auto" w:fill="D0CECE"/>
            <w:vAlign w:val="bottom"/>
            <w:hideMark/>
          </w:tcPr>
          <w:p w14:paraId="3DA361B4" w14:textId="77777777" w:rsidR="00331B7B" w:rsidRPr="00331B7B" w:rsidRDefault="00331B7B" w:rsidP="006F5F60">
            <w:pPr>
              <w:rPr>
                <w:rFonts w:ascii="Calibri" w:hAnsi="Calibri" w:cs="Calibri"/>
                <w:b/>
                <w:bCs/>
                <w:color w:val="000000" w:themeColor="text1"/>
                <w:sz w:val="20"/>
                <w:lang w:eastAsia="it-IT"/>
              </w:rPr>
            </w:pPr>
            <w:r w:rsidRPr="00331B7B">
              <w:rPr>
                <w:rFonts w:ascii="Calibri" w:hAnsi="Calibri" w:cs="Calibri"/>
                <w:b/>
                <w:bCs/>
                <w:color w:val="000000" w:themeColor="text1"/>
                <w:sz w:val="20"/>
                <w:lang w:eastAsia="it-IT"/>
              </w:rPr>
              <w:t>Personale suddiviso per uffici dirigenziali</w:t>
            </w:r>
          </w:p>
        </w:tc>
        <w:tc>
          <w:tcPr>
            <w:tcW w:w="1571" w:type="dxa"/>
            <w:shd w:val="clear" w:color="auto" w:fill="D0CECE"/>
            <w:hideMark/>
          </w:tcPr>
          <w:p w14:paraId="3FE802D2" w14:textId="77777777" w:rsidR="00331B7B" w:rsidRPr="00331B7B" w:rsidRDefault="00331B7B" w:rsidP="006F5F60">
            <w:pPr>
              <w:jc w:val="center"/>
              <w:rPr>
                <w:rFonts w:ascii="Calibri" w:hAnsi="Calibri" w:cs="Calibri"/>
                <w:b/>
                <w:bCs/>
                <w:color w:val="000000" w:themeColor="text1"/>
                <w:sz w:val="20"/>
                <w:lang w:eastAsia="it-IT"/>
              </w:rPr>
            </w:pPr>
            <w:r w:rsidRPr="00331B7B">
              <w:rPr>
                <w:rFonts w:ascii="Calibri" w:hAnsi="Calibri" w:cs="Calibri"/>
                <w:b/>
                <w:bCs/>
                <w:color w:val="000000" w:themeColor="text1"/>
                <w:sz w:val="20"/>
                <w:lang w:eastAsia="it-IT"/>
              </w:rPr>
              <w:t xml:space="preserve">Assenza </w:t>
            </w:r>
          </w:p>
          <w:p w14:paraId="42C0FEA4" w14:textId="77777777" w:rsidR="00331B7B" w:rsidRPr="00331B7B" w:rsidRDefault="00331B7B" w:rsidP="006F5F60">
            <w:pPr>
              <w:jc w:val="center"/>
              <w:rPr>
                <w:rFonts w:ascii="Calibri" w:hAnsi="Calibri" w:cs="Calibri"/>
                <w:b/>
                <w:bCs/>
                <w:color w:val="000000" w:themeColor="text1"/>
                <w:sz w:val="20"/>
                <w:lang w:eastAsia="it-IT"/>
              </w:rPr>
            </w:pPr>
            <w:r w:rsidRPr="00331B7B">
              <w:rPr>
                <w:rFonts w:ascii="Calibri" w:hAnsi="Calibri" w:cs="Calibri"/>
                <w:b/>
                <w:bCs/>
                <w:color w:val="000000" w:themeColor="text1"/>
                <w:sz w:val="20"/>
                <w:lang w:eastAsia="it-IT"/>
              </w:rPr>
              <w:t>su ore totali</w:t>
            </w:r>
          </w:p>
          <w:p w14:paraId="00F5B6F1" w14:textId="77777777" w:rsidR="00331B7B" w:rsidRPr="00331B7B" w:rsidRDefault="00331B7B" w:rsidP="006F5F60">
            <w:pPr>
              <w:jc w:val="center"/>
              <w:rPr>
                <w:rFonts w:ascii="Calibri" w:hAnsi="Calibri" w:cs="Calibri"/>
                <w:b/>
                <w:bCs/>
                <w:color w:val="000000" w:themeColor="text1"/>
                <w:sz w:val="20"/>
                <w:lang w:eastAsia="it-IT"/>
              </w:rPr>
            </w:pPr>
            <w:r w:rsidRPr="00331B7B">
              <w:rPr>
                <w:rFonts w:ascii="Calibri" w:hAnsi="Calibri" w:cs="Calibri"/>
                <w:b/>
                <w:bCs/>
                <w:color w:val="000000" w:themeColor="text1"/>
                <w:sz w:val="20"/>
                <w:lang w:eastAsia="it-IT"/>
              </w:rPr>
              <w:t>lavorabili</w:t>
            </w:r>
          </w:p>
        </w:tc>
        <w:tc>
          <w:tcPr>
            <w:tcW w:w="1262" w:type="dxa"/>
            <w:shd w:val="clear" w:color="auto" w:fill="D0CECE"/>
            <w:hideMark/>
          </w:tcPr>
          <w:p w14:paraId="6D77FB76" w14:textId="77777777" w:rsidR="00331B7B" w:rsidRPr="00331B7B" w:rsidRDefault="00331B7B" w:rsidP="006F5F60">
            <w:pPr>
              <w:jc w:val="center"/>
              <w:rPr>
                <w:rFonts w:ascii="Calibri" w:hAnsi="Calibri" w:cs="Calibri"/>
                <w:b/>
                <w:bCs/>
                <w:color w:val="000000" w:themeColor="text1"/>
                <w:sz w:val="20"/>
                <w:lang w:eastAsia="it-IT"/>
              </w:rPr>
            </w:pPr>
            <w:r w:rsidRPr="00331B7B">
              <w:rPr>
                <w:rFonts w:ascii="Calibri" w:hAnsi="Calibri" w:cs="Calibri"/>
                <w:b/>
                <w:bCs/>
                <w:color w:val="000000" w:themeColor="text1"/>
                <w:sz w:val="20"/>
                <w:lang w:eastAsia="it-IT"/>
              </w:rPr>
              <w:t xml:space="preserve">Assenza </w:t>
            </w:r>
          </w:p>
          <w:p w14:paraId="2EF6DBC0" w14:textId="77777777" w:rsidR="00331B7B" w:rsidRPr="00331B7B" w:rsidRDefault="00331B7B" w:rsidP="006F5F60">
            <w:pPr>
              <w:jc w:val="center"/>
              <w:rPr>
                <w:rFonts w:ascii="Calibri" w:hAnsi="Calibri" w:cs="Calibri"/>
                <w:b/>
                <w:bCs/>
                <w:color w:val="000000" w:themeColor="text1"/>
                <w:sz w:val="20"/>
                <w:lang w:eastAsia="it-IT"/>
              </w:rPr>
            </w:pPr>
            <w:r w:rsidRPr="00331B7B">
              <w:rPr>
                <w:rFonts w:ascii="Calibri" w:hAnsi="Calibri" w:cs="Calibri"/>
                <w:b/>
                <w:bCs/>
                <w:color w:val="000000" w:themeColor="text1"/>
                <w:sz w:val="20"/>
                <w:lang w:eastAsia="it-IT"/>
              </w:rPr>
              <w:t xml:space="preserve">per </w:t>
            </w:r>
          </w:p>
          <w:p w14:paraId="4F5919C2" w14:textId="77777777" w:rsidR="00331B7B" w:rsidRPr="00331B7B" w:rsidRDefault="00331B7B" w:rsidP="006F5F60">
            <w:pPr>
              <w:jc w:val="center"/>
              <w:rPr>
                <w:rFonts w:ascii="Calibri" w:hAnsi="Calibri" w:cs="Calibri"/>
                <w:b/>
                <w:bCs/>
                <w:color w:val="000000" w:themeColor="text1"/>
                <w:sz w:val="20"/>
                <w:lang w:eastAsia="it-IT"/>
              </w:rPr>
            </w:pPr>
            <w:r w:rsidRPr="00331B7B">
              <w:rPr>
                <w:rFonts w:ascii="Calibri" w:hAnsi="Calibri" w:cs="Calibri"/>
                <w:b/>
                <w:bCs/>
                <w:color w:val="000000" w:themeColor="text1"/>
                <w:sz w:val="20"/>
                <w:lang w:eastAsia="it-IT"/>
              </w:rPr>
              <w:t>malattia</w:t>
            </w:r>
          </w:p>
        </w:tc>
        <w:tc>
          <w:tcPr>
            <w:tcW w:w="995" w:type="dxa"/>
            <w:shd w:val="clear" w:color="auto" w:fill="D0CECE"/>
            <w:hideMark/>
          </w:tcPr>
          <w:p w14:paraId="283E0C7B" w14:textId="77777777" w:rsidR="00331B7B" w:rsidRPr="00331B7B" w:rsidRDefault="00331B7B" w:rsidP="006F5F60">
            <w:pPr>
              <w:jc w:val="center"/>
              <w:rPr>
                <w:rFonts w:ascii="Calibri" w:hAnsi="Calibri" w:cs="Calibri"/>
                <w:b/>
                <w:bCs/>
                <w:color w:val="000000" w:themeColor="text1"/>
                <w:sz w:val="20"/>
                <w:lang w:eastAsia="it-IT"/>
              </w:rPr>
            </w:pPr>
            <w:r w:rsidRPr="00331B7B">
              <w:rPr>
                <w:rFonts w:ascii="Calibri" w:hAnsi="Calibri" w:cs="Calibri"/>
                <w:b/>
                <w:bCs/>
                <w:color w:val="000000" w:themeColor="text1"/>
                <w:sz w:val="20"/>
                <w:lang w:eastAsia="it-IT"/>
              </w:rPr>
              <w:t xml:space="preserve">Assenza per </w:t>
            </w:r>
          </w:p>
          <w:p w14:paraId="6F719ED3" w14:textId="77777777" w:rsidR="00331B7B" w:rsidRPr="00331B7B" w:rsidRDefault="00331B7B" w:rsidP="006F5F60">
            <w:pPr>
              <w:jc w:val="center"/>
              <w:rPr>
                <w:rFonts w:ascii="Calibri" w:hAnsi="Calibri" w:cs="Calibri"/>
                <w:b/>
                <w:bCs/>
                <w:color w:val="000000" w:themeColor="text1"/>
                <w:sz w:val="20"/>
                <w:lang w:eastAsia="it-IT"/>
              </w:rPr>
            </w:pPr>
            <w:r w:rsidRPr="00331B7B">
              <w:rPr>
                <w:rFonts w:ascii="Calibri" w:hAnsi="Calibri" w:cs="Calibri"/>
                <w:b/>
                <w:bCs/>
                <w:color w:val="000000" w:themeColor="text1"/>
                <w:sz w:val="20"/>
                <w:lang w:eastAsia="it-IT"/>
              </w:rPr>
              <w:t>ferie</w:t>
            </w:r>
          </w:p>
        </w:tc>
        <w:tc>
          <w:tcPr>
            <w:tcW w:w="1276" w:type="dxa"/>
            <w:shd w:val="clear" w:color="auto" w:fill="D0CECE"/>
            <w:hideMark/>
          </w:tcPr>
          <w:p w14:paraId="74E7042D" w14:textId="77777777" w:rsidR="00331B7B" w:rsidRPr="00331B7B" w:rsidRDefault="00331B7B" w:rsidP="006F5F60">
            <w:pPr>
              <w:jc w:val="center"/>
              <w:rPr>
                <w:rFonts w:ascii="Calibri" w:hAnsi="Calibri" w:cs="Calibri"/>
                <w:b/>
                <w:bCs/>
                <w:color w:val="000000" w:themeColor="text1"/>
                <w:sz w:val="20"/>
                <w:lang w:eastAsia="it-IT"/>
              </w:rPr>
            </w:pPr>
            <w:r w:rsidRPr="00331B7B">
              <w:rPr>
                <w:rFonts w:ascii="Calibri" w:hAnsi="Calibri" w:cs="Calibri"/>
                <w:b/>
                <w:bCs/>
                <w:color w:val="000000" w:themeColor="text1"/>
                <w:sz w:val="20"/>
                <w:lang w:eastAsia="it-IT"/>
              </w:rPr>
              <w:t>Assenza</w:t>
            </w:r>
          </w:p>
          <w:p w14:paraId="5D98388B" w14:textId="77777777" w:rsidR="00331B7B" w:rsidRPr="00331B7B" w:rsidRDefault="00331B7B" w:rsidP="006F5F60">
            <w:pPr>
              <w:jc w:val="center"/>
              <w:rPr>
                <w:rFonts w:ascii="Calibri" w:hAnsi="Calibri" w:cs="Calibri"/>
                <w:b/>
                <w:bCs/>
                <w:color w:val="000000" w:themeColor="text1"/>
                <w:sz w:val="20"/>
                <w:lang w:eastAsia="it-IT"/>
              </w:rPr>
            </w:pPr>
            <w:r w:rsidRPr="00331B7B">
              <w:rPr>
                <w:rFonts w:ascii="Calibri" w:hAnsi="Calibri" w:cs="Calibri"/>
                <w:b/>
                <w:bCs/>
                <w:color w:val="000000" w:themeColor="text1"/>
                <w:sz w:val="20"/>
                <w:lang w:eastAsia="it-IT"/>
              </w:rPr>
              <w:t xml:space="preserve"> per maternità</w:t>
            </w:r>
          </w:p>
        </w:tc>
        <w:tc>
          <w:tcPr>
            <w:tcW w:w="1277" w:type="dxa"/>
            <w:shd w:val="clear" w:color="auto" w:fill="D0CECE"/>
            <w:hideMark/>
          </w:tcPr>
          <w:p w14:paraId="33BE12A0" w14:textId="77777777" w:rsidR="00331B7B" w:rsidRPr="00331B7B" w:rsidRDefault="00331B7B" w:rsidP="006F5F60">
            <w:pPr>
              <w:jc w:val="center"/>
              <w:rPr>
                <w:rFonts w:ascii="Calibri" w:hAnsi="Calibri" w:cs="Calibri"/>
                <w:b/>
                <w:bCs/>
                <w:color w:val="000000" w:themeColor="text1"/>
                <w:sz w:val="20"/>
                <w:lang w:eastAsia="it-IT"/>
              </w:rPr>
            </w:pPr>
            <w:r w:rsidRPr="00331B7B">
              <w:rPr>
                <w:rFonts w:ascii="Calibri" w:hAnsi="Calibri" w:cs="Calibri"/>
                <w:b/>
                <w:bCs/>
                <w:color w:val="000000" w:themeColor="text1"/>
                <w:sz w:val="20"/>
                <w:lang w:eastAsia="it-IT"/>
              </w:rPr>
              <w:t>Assenze altre</w:t>
            </w:r>
          </w:p>
        </w:tc>
        <w:tc>
          <w:tcPr>
            <w:tcW w:w="991" w:type="dxa"/>
            <w:shd w:val="clear" w:color="auto" w:fill="D0CECE"/>
            <w:hideMark/>
          </w:tcPr>
          <w:p w14:paraId="1DDD4DB5" w14:textId="77777777" w:rsidR="00331B7B" w:rsidRPr="00331B7B" w:rsidRDefault="00331B7B" w:rsidP="006F5F60">
            <w:pPr>
              <w:jc w:val="center"/>
              <w:rPr>
                <w:rFonts w:ascii="Calibri" w:hAnsi="Calibri" w:cs="Calibri"/>
                <w:b/>
                <w:bCs/>
                <w:color w:val="000000" w:themeColor="text1"/>
                <w:sz w:val="20"/>
                <w:lang w:eastAsia="it-IT"/>
              </w:rPr>
            </w:pPr>
            <w:r w:rsidRPr="00331B7B">
              <w:rPr>
                <w:rFonts w:ascii="Calibri" w:hAnsi="Calibri" w:cs="Calibri"/>
                <w:b/>
                <w:bCs/>
                <w:color w:val="000000" w:themeColor="text1"/>
                <w:sz w:val="20"/>
                <w:lang w:eastAsia="it-IT"/>
              </w:rPr>
              <w:t>Assenza al netto ferie e maternità</w:t>
            </w:r>
          </w:p>
        </w:tc>
      </w:tr>
      <w:tr w:rsidR="00331B7B" w:rsidRPr="00331B7B" w14:paraId="4F8C8B1E" w14:textId="77777777" w:rsidTr="00DE73AC">
        <w:trPr>
          <w:trHeight w:val="600"/>
          <w:jc w:val="center"/>
        </w:trPr>
        <w:tc>
          <w:tcPr>
            <w:tcW w:w="2284" w:type="dxa"/>
            <w:shd w:val="clear" w:color="auto" w:fill="D0CECE"/>
            <w:vAlign w:val="center"/>
            <w:hideMark/>
          </w:tcPr>
          <w:p w14:paraId="2B9BEC89" w14:textId="77777777" w:rsidR="00331B7B" w:rsidRPr="00331B7B" w:rsidRDefault="00331B7B" w:rsidP="006F5F60">
            <w:pPr>
              <w:rPr>
                <w:rFonts w:ascii="Calibri" w:hAnsi="Calibri" w:cs="Calibri"/>
                <w:b/>
                <w:bCs/>
                <w:color w:val="000000" w:themeColor="text1"/>
                <w:sz w:val="20"/>
                <w:lang w:eastAsia="it-IT"/>
              </w:rPr>
            </w:pPr>
            <w:r w:rsidRPr="00331B7B">
              <w:rPr>
                <w:rFonts w:ascii="Calibri" w:hAnsi="Calibri" w:cs="Calibri"/>
                <w:b/>
                <w:bCs/>
                <w:color w:val="000000" w:themeColor="text1"/>
                <w:sz w:val="20"/>
                <w:lang w:eastAsia="it-IT"/>
              </w:rPr>
              <w:t>Direzione Demanio</w:t>
            </w:r>
          </w:p>
        </w:tc>
        <w:tc>
          <w:tcPr>
            <w:tcW w:w="1571" w:type="dxa"/>
            <w:shd w:val="clear" w:color="auto" w:fill="E7E6E6"/>
            <w:vAlign w:val="center"/>
            <w:hideMark/>
          </w:tcPr>
          <w:p w14:paraId="17CE0D6D" w14:textId="77777777" w:rsidR="00331B7B" w:rsidRPr="00331B7B" w:rsidRDefault="00331B7B" w:rsidP="006F5F60">
            <w:pPr>
              <w:jc w:val="center"/>
              <w:rPr>
                <w:rFonts w:ascii="Calibri" w:hAnsi="Calibri" w:cs="Calibri"/>
                <w:bCs/>
                <w:color w:val="000000" w:themeColor="text1"/>
                <w:sz w:val="20"/>
                <w:lang w:eastAsia="it-IT"/>
              </w:rPr>
            </w:pPr>
            <w:r w:rsidRPr="00331B7B">
              <w:rPr>
                <w:rFonts w:ascii="Calibri" w:hAnsi="Calibri" w:cs="Calibri"/>
                <w:bCs/>
                <w:color w:val="000000" w:themeColor="text1"/>
                <w:sz w:val="20"/>
                <w:lang w:eastAsia="it-IT"/>
              </w:rPr>
              <w:t>13,61%</w:t>
            </w:r>
          </w:p>
        </w:tc>
        <w:tc>
          <w:tcPr>
            <w:tcW w:w="1262" w:type="dxa"/>
            <w:shd w:val="clear" w:color="auto" w:fill="E7E6E6"/>
            <w:vAlign w:val="center"/>
            <w:hideMark/>
          </w:tcPr>
          <w:p w14:paraId="56E5D747" w14:textId="77777777" w:rsidR="00331B7B" w:rsidRPr="00331B7B" w:rsidRDefault="00331B7B" w:rsidP="006F5F60">
            <w:pPr>
              <w:jc w:val="center"/>
              <w:rPr>
                <w:rFonts w:ascii="Calibri" w:hAnsi="Calibri" w:cs="Calibri"/>
                <w:bCs/>
                <w:color w:val="000000" w:themeColor="text1"/>
                <w:sz w:val="20"/>
                <w:lang w:eastAsia="it-IT"/>
              </w:rPr>
            </w:pPr>
            <w:r w:rsidRPr="00331B7B">
              <w:rPr>
                <w:rFonts w:ascii="Calibri" w:hAnsi="Calibri" w:cs="Calibri"/>
                <w:bCs/>
                <w:color w:val="000000" w:themeColor="text1"/>
                <w:sz w:val="20"/>
                <w:lang w:eastAsia="it-IT"/>
              </w:rPr>
              <w:t>1,83%</w:t>
            </w:r>
          </w:p>
        </w:tc>
        <w:tc>
          <w:tcPr>
            <w:tcW w:w="995" w:type="dxa"/>
            <w:shd w:val="clear" w:color="auto" w:fill="E7E6E6"/>
            <w:vAlign w:val="center"/>
            <w:hideMark/>
          </w:tcPr>
          <w:p w14:paraId="4A809FFA" w14:textId="77777777" w:rsidR="00331B7B" w:rsidRPr="00331B7B" w:rsidRDefault="00331B7B" w:rsidP="006F5F60">
            <w:pPr>
              <w:jc w:val="center"/>
              <w:rPr>
                <w:rFonts w:ascii="Calibri" w:hAnsi="Calibri" w:cs="Calibri"/>
                <w:bCs/>
                <w:color w:val="000000" w:themeColor="text1"/>
                <w:sz w:val="20"/>
                <w:lang w:eastAsia="it-IT"/>
              </w:rPr>
            </w:pPr>
            <w:r w:rsidRPr="00331B7B">
              <w:rPr>
                <w:rFonts w:ascii="Calibri" w:hAnsi="Calibri" w:cs="Calibri"/>
                <w:bCs/>
                <w:color w:val="000000" w:themeColor="text1"/>
                <w:sz w:val="20"/>
                <w:lang w:eastAsia="it-IT"/>
              </w:rPr>
              <w:t>9,04%</w:t>
            </w:r>
          </w:p>
        </w:tc>
        <w:tc>
          <w:tcPr>
            <w:tcW w:w="1276" w:type="dxa"/>
            <w:shd w:val="clear" w:color="auto" w:fill="E7E6E6"/>
            <w:vAlign w:val="center"/>
            <w:hideMark/>
          </w:tcPr>
          <w:p w14:paraId="438603D9" w14:textId="77777777" w:rsidR="00331B7B" w:rsidRPr="00331B7B" w:rsidRDefault="00331B7B" w:rsidP="006F5F60">
            <w:pPr>
              <w:jc w:val="center"/>
              <w:rPr>
                <w:rFonts w:ascii="Calibri" w:hAnsi="Calibri" w:cs="Calibri"/>
                <w:bCs/>
                <w:color w:val="000000" w:themeColor="text1"/>
                <w:sz w:val="20"/>
                <w:lang w:eastAsia="it-IT"/>
              </w:rPr>
            </w:pPr>
            <w:r w:rsidRPr="00331B7B">
              <w:rPr>
                <w:rFonts w:ascii="Calibri" w:hAnsi="Calibri" w:cs="Calibri"/>
                <w:bCs/>
                <w:color w:val="000000" w:themeColor="text1"/>
                <w:sz w:val="20"/>
                <w:lang w:eastAsia="it-IT"/>
              </w:rPr>
              <w:t>1,35%</w:t>
            </w:r>
          </w:p>
        </w:tc>
        <w:tc>
          <w:tcPr>
            <w:tcW w:w="1277" w:type="dxa"/>
            <w:shd w:val="clear" w:color="auto" w:fill="E7E6E6"/>
            <w:vAlign w:val="center"/>
            <w:hideMark/>
          </w:tcPr>
          <w:p w14:paraId="074E875C" w14:textId="77777777" w:rsidR="00331B7B" w:rsidRPr="00331B7B" w:rsidRDefault="00331B7B" w:rsidP="006F5F60">
            <w:pPr>
              <w:jc w:val="center"/>
              <w:rPr>
                <w:rFonts w:ascii="Calibri" w:hAnsi="Calibri" w:cs="Calibri"/>
                <w:bCs/>
                <w:color w:val="000000" w:themeColor="text1"/>
                <w:sz w:val="20"/>
                <w:lang w:eastAsia="it-IT"/>
              </w:rPr>
            </w:pPr>
            <w:r w:rsidRPr="00331B7B">
              <w:rPr>
                <w:rFonts w:ascii="Calibri" w:hAnsi="Calibri" w:cs="Calibri"/>
                <w:bCs/>
                <w:color w:val="000000" w:themeColor="text1"/>
                <w:sz w:val="20"/>
                <w:lang w:eastAsia="it-IT"/>
              </w:rPr>
              <w:t>1,39%</w:t>
            </w:r>
          </w:p>
        </w:tc>
        <w:tc>
          <w:tcPr>
            <w:tcW w:w="991" w:type="dxa"/>
            <w:shd w:val="clear" w:color="auto" w:fill="E7E6E6"/>
            <w:vAlign w:val="center"/>
            <w:hideMark/>
          </w:tcPr>
          <w:p w14:paraId="6AAB7AA2" w14:textId="77777777" w:rsidR="00331B7B" w:rsidRPr="00331B7B" w:rsidRDefault="00331B7B" w:rsidP="006F5F60">
            <w:pPr>
              <w:jc w:val="center"/>
              <w:rPr>
                <w:rFonts w:ascii="Calibri" w:hAnsi="Calibri" w:cs="Calibri"/>
                <w:bCs/>
                <w:color w:val="000000" w:themeColor="text1"/>
                <w:sz w:val="20"/>
                <w:lang w:eastAsia="it-IT"/>
              </w:rPr>
            </w:pPr>
            <w:r w:rsidRPr="00331B7B">
              <w:rPr>
                <w:rFonts w:ascii="Calibri" w:hAnsi="Calibri" w:cs="Calibri"/>
                <w:bCs/>
                <w:color w:val="000000" w:themeColor="text1"/>
                <w:sz w:val="20"/>
                <w:lang w:eastAsia="it-IT"/>
              </w:rPr>
              <w:t>3,23%</w:t>
            </w:r>
          </w:p>
        </w:tc>
      </w:tr>
      <w:tr w:rsidR="00331B7B" w:rsidRPr="00331B7B" w14:paraId="583B8E92" w14:textId="77777777" w:rsidTr="00DE73AC">
        <w:trPr>
          <w:trHeight w:val="705"/>
          <w:jc w:val="center"/>
        </w:trPr>
        <w:tc>
          <w:tcPr>
            <w:tcW w:w="2284" w:type="dxa"/>
            <w:shd w:val="clear" w:color="auto" w:fill="D0CECE"/>
            <w:vAlign w:val="center"/>
            <w:hideMark/>
          </w:tcPr>
          <w:p w14:paraId="5DC1D7D0" w14:textId="77777777" w:rsidR="00331B7B" w:rsidRPr="00331B7B" w:rsidRDefault="00331B7B" w:rsidP="006F5F60">
            <w:pPr>
              <w:rPr>
                <w:rFonts w:ascii="Calibri" w:hAnsi="Calibri" w:cs="Calibri"/>
                <w:b/>
                <w:bCs/>
                <w:color w:val="000000" w:themeColor="text1"/>
                <w:sz w:val="20"/>
                <w:lang w:eastAsia="it-IT"/>
              </w:rPr>
            </w:pPr>
            <w:r w:rsidRPr="00331B7B">
              <w:rPr>
                <w:rFonts w:ascii="Calibri" w:hAnsi="Calibri" w:cs="Calibri"/>
                <w:b/>
                <w:bCs/>
                <w:color w:val="000000" w:themeColor="text1"/>
                <w:sz w:val="20"/>
                <w:lang w:eastAsia="it-IT"/>
              </w:rPr>
              <w:t>Direzione Coordinamento Operativo Portuale</w:t>
            </w:r>
          </w:p>
        </w:tc>
        <w:tc>
          <w:tcPr>
            <w:tcW w:w="1571" w:type="dxa"/>
            <w:shd w:val="clear" w:color="auto" w:fill="E7E6E6"/>
            <w:vAlign w:val="center"/>
            <w:hideMark/>
          </w:tcPr>
          <w:p w14:paraId="70811F33" w14:textId="77777777" w:rsidR="00331B7B" w:rsidRPr="00331B7B" w:rsidRDefault="00331B7B" w:rsidP="006F5F60">
            <w:pPr>
              <w:jc w:val="center"/>
              <w:rPr>
                <w:rFonts w:ascii="Calibri" w:hAnsi="Calibri" w:cs="Calibri"/>
                <w:bCs/>
                <w:color w:val="000000" w:themeColor="text1"/>
                <w:sz w:val="20"/>
                <w:lang w:eastAsia="it-IT"/>
              </w:rPr>
            </w:pPr>
            <w:r w:rsidRPr="00331B7B">
              <w:rPr>
                <w:rFonts w:ascii="Calibri" w:hAnsi="Calibri" w:cs="Calibri"/>
                <w:bCs/>
                <w:color w:val="000000" w:themeColor="text1"/>
                <w:sz w:val="20"/>
                <w:lang w:eastAsia="it-IT"/>
              </w:rPr>
              <w:t>15,71%</w:t>
            </w:r>
          </w:p>
        </w:tc>
        <w:tc>
          <w:tcPr>
            <w:tcW w:w="1262" w:type="dxa"/>
            <w:shd w:val="clear" w:color="auto" w:fill="E7E6E6"/>
            <w:vAlign w:val="center"/>
            <w:hideMark/>
          </w:tcPr>
          <w:p w14:paraId="2496E329" w14:textId="77777777" w:rsidR="00331B7B" w:rsidRPr="00331B7B" w:rsidRDefault="00331B7B" w:rsidP="006F5F60">
            <w:pPr>
              <w:jc w:val="center"/>
              <w:rPr>
                <w:rFonts w:ascii="Calibri" w:hAnsi="Calibri" w:cs="Calibri"/>
                <w:bCs/>
                <w:color w:val="000000" w:themeColor="text1"/>
                <w:sz w:val="20"/>
                <w:lang w:eastAsia="it-IT"/>
              </w:rPr>
            </w:pPr>
            <w:r w:rsidRPr="00331B7B">
              <w:rPr>
                <w:rFonts w:ascii="Calibri" w:hAnsi="Calibri" w:cs="Calibri"/>
                <w:bCs/>
                <w:color w:val="000000" w:themeColor="text1"/>
                <w:sz w:val="20"/>
                <w:lang w:eastAsia="it-IT"/>
              </w:rPr>
              <w:t>3,99%</w:t>
            </w:r>
          </w:p>
        </w:tc>
        <w:tc>
          <w:tcPr>
            <w:tcW w:w="995" w:type="dxa"/>
            <w:shd w:val="clear" w:color="auto" w:fill="E7E6E6"/>
            <w:vAlign w:val="center"/>
            <w:hideMark/>
          </w:tcPr>
          <w:p w14:paraId="4B956AA5" w14:textId="77777777" w:rsidR="00331B7B" w:rsidRPr="00331B7B" w:rsidRDefault="00331B7B" w:rsidP="006F5F60">
            <w:pPr>
              <w:jc w:val="center"/>
              <w:rPr>
                <w:rFonts w:ascii="Calibri" w:hAnsi="Calibri" w:cs="Calibri"/>
                <w:bCs/>
                <w:color w:val="000000" w:themeColor="text1"/>
                <w:sz w:val="20"/>
                <w:lang w:eastAsia="it-IT"/>
              </w:rPr>
            </w:pPr>
            <w:r w:rsidRPr="00331B7B">
              <w:rPr>
                <w:rFonts w:ascii="Calibri" w:hAnsi="Calibri" w:cs="Calibri"/>
                <w:bCs/>
                <w:color w:val="000000" w:themeColor="text1"/>
                <w:sz w:val="20"/>
                <w:lang w:eastAsia="it-IT"/>
              </w:rPr>
              <w:t>8,70%</w:t>
            </w:r>
          </w:p>
        </w:tc>
        <w:tc>
          <w:tcPr>
            <w:tcW w:w="1276" w:type="dxa"/>
            <w:shd w:val="clear" w:color="auto" w:fill="E7E6E6"/>
            <w:vAlign w:val="center"/>
            <w:hideMark/>
          </w:tcPr>
          <w:p w14:paraId="3E29121C" w14:textId="77777777" w:rsidR="00331B7B" w:rsidRPr="00331B7B" w:rsidRDefault="00331B7B" w:rsidP="006F5F60">
            <w:pPr>
              <w:jc w:val="center"/>
              <w:rPr>
                <w:rFonts w:ascii="Calibri" w:hAnsi="Calibri" w:cs="Calibri"/>
                <w:bCs/>
                <w:color w:val="000000" w:themeColor="text1"/>
                <w:sz w:val="20"/>
                <w:lang w:eastAsia="it-IT"/>
              </w:rPr>
            </w:pPr>
            <w:r w:rsidRPr="00331B7B">
              <w:rPr>
                <w:rFonts w:ascii="Calibri" w:hAnsi="Calibri" w:cs="Calibri"/>
                <w:bCs/>
                <w:color w:val="000000" w:themeColor="text1"/>
                <w:sz w:val="20"/>
                <w:lang w:eastAsia="it-IT"/>
              </w:rPr>
              <w:t>0,59%</w:t>
            </w:r>
          </w:p>
        </w:tc>
        <w:tc>
          <w:tcPr>
            <w:tcW w:w="1277" w:type="dxa"/>
            <w:shd w:val="clear" w:color="auto" w:fill="E7E6E6"/>
            <w:vAlign w:val="center"/>
            <w:hideMark/>
          </w:tcPr>
          <w:p w14:paraId="48A891AA" w14:textId="77777777" w:rsidR="00331B7B" w:rsidRPr="00331B7B" w:rsidRDefault="00331B7B" w:rsidP="006F5F60">
            <w:pPr>
              <w:jc w:val="center"/>
              <w:rPr>
                <w:rFonts w:ascii="Calibri" w:hAnsi="Calibri" w:cs="Calibri"/>
                <w:bCs/>
                <w:color w:val="000000" w:themeColor="text1"/>
                <w:sz w:val="20"/>
                <w:lang w:eastAsia="it-IT"/>
              </w:rPr>
            </w:pPr>
            <w:r w:rsidRPr="00331B7B">
              <w:rPr>
                <w:rFonts w:ascii="Calibri" w:hAnsi="Calibri" w:cs="Calibri"/>
                <w:bCs/>
                <w:color w:val="000000" w:themeColor="text1"/>
                <w:sz w:val="20"/>
                <w:lang w:eastAsia="it-IT"/>
              </w:rPr>
              <w:t>2,43%</w:t>
            </w:r>
          </w:p>
        </w:tc>
        <w:tc>
          <w:tcPr>
            <w:tcW w:w="991" w:type="dxa"/>
            <w:shd w:val="clear" w:color="auto" w:fill="E7E6E6"/>
            <w:vAlign w:val="center"/>
            <w:hideMark/>
          </w:tcPr>
          <w:p w14:paraId="05E90A44" w14:textId="77777777" w:rsidR="00331B7B" w:rsidRPr="00331B7B" w:rsidRDefault="00331B7B" w:rsidP="006F5F60">
            <w:pPr>
              <w:jc w:val="center"/>
              <w:rPr>
                <w:rFonts w:ascii="Calibri" w:hAnsi="Calibri" w:cs="Calibri"/>
                <w:bCs/>
                <w:color w:val="000000" w:themeColor="text1"/>
                <w:sz w:val="20"/>
                <w:lang w:eastAsia="it-IT"/>
              </w:rPr>
            </w:pPr>
            <w:r w:rsidRPr="00331B7B">
              <w:rPr>
                <w:rFonts w:ascii="Calibri" w:hAnsi="Calibri" w:cs="Calibri"/>
                <w:bCs/>
                <w:color w:val="000000" w:themeColor="text1"/>
                <w:sz w:val="20"/>
                <w:lang w:eastAsia="it-IT"/>
              </w:rPr>
              <w:t>6,42%</w:t>
            </w:r>
          </w:p>
        </w:tc>
      </w:tr>
      <w:tr w:rsidR="00331B7B" w:rsidRPr="00331B7B" w14:paraId="4DB9C39E" w14:textId="77777777" w:rsidTr="00DE73AC">
        <w:trPr>
          <w:trHeight w:val="900"/>
          <w:jc w:val="center"/>
        </w:trPr>
        <w:tc>
          <w:tcPr>
            <w:tcW w:w="2284" w:type="dxa"/>
            <w:shd w:val="clear" w:color="auto" w:fill="D0CECE"/>
            <w:vAlign w:val="center"/>
            <w:hideMark/>
          </w:tcPr>
          <w:p w14:paraId="7FD955E5" w14:textId="77777777" w:rsidR="00331B7B" w:rsidRPr="00331B7B" w:rsidRDefault="00331B7B" w:rsidP="006F5F60">
            <w:pPr>
              <w:rPr>
                <w:rFonts w:ascii="Calibri" w:hAnsi="Calibri" w:cs="Calibri"/>
                <w:b/>
                <w:bCs/>
                <w:color w:val="000000" w:themeColor="text1"/>
                <w:sz w:val="20"/>
                <w:lang w:eastAsia="it-IT"/>
              </w:rPr>
            </w:pPr>
            <w:r w:rsidRPr="00331B7B">
              <w:rPr>
                <w:rFonts w:ascii="Calibri" w:hAnsi="Calibri" w:cs="Calibri"/>
                <w:b/>
                <w:bCs/>
                <w:color w:val="000000" w:themeColor="text1"/>
                <w:sz w:val="20"/>
                <w:lang w:eastAsia="it-IT"/>
              </w:rPr>
              <w:t>Direzione Pianificazione Strategica e Sviluppo</w:t>
            </w:r>
          </w:p>
        </w:tc>
        <w:tc>
          <w:tcPr>
            <w:tcW w:w="1571" w:type="dxa"/>
            <w:shd w:val="clear" w:color="auto" w:fill="E7E6E6"/>
            <w:vAlign w:val="center"/>
            <w:hideMark/>
          </w:tcPr>
          <w:p w14:paraId="4FC130BF" w14:textId="77777777" w:rsidR="00331B7B" w:rsidRPr="00331B7B" w:rsidRDefault="00331B7B" w:rsidP="006F5F60">
            <w:pPr>
              <w:jc w:val="center"/>
              <w:rPr>
                <w:rFonts w:ascii="Calibri" w:hAnsi="Calibri" w:cs="Calibri"/>
                <w:bCs/>
                <w:color w:val="000000" w:themeColor="text1"/>
                <w:sz w:val="20"/>
                <w:lang w:eastAsia="it-IT"/>
              </w:rPr>
            </w:pPr>
            <w:r w:rsidRPr="00331B7B">
              <w:rPr>
                <w:rFonts w:ascii="Calibri" w:hAnsi="Calibri" w:cs="Calibri"/>
                <w:bCs/>
                <w:color w:val="000000" w:themeColor="text1"/>
                <w:sz w:val="20"/>
                <w:lang w:eastAsia="it-IT"/>
              </w:rPr>
              <w:t>11,87%</w:t>
            </w:r>
          </w:p>
        </w:tc>
        <w:tc>
          <w:tcPr>
            <w:tcW w:w="1262" w:type="dxa"/>
            <w:shd w:val="clear" w:color="auto" w:fill="E7E6E6"/>
            <w:vAlign w:val="center"/>
            <w:hideMark/>
          </w:tcPr>
          <w:p w14:paraId="4177E149" w14:textId="77777777" w:rsidR="00331B7B" w:rsidRPr="00331B7B" w:rsidRDefault="00331B7B" w:rsidP="006F5F60">
            <w:pPr>
              <w:jc w:val="center"/>
              <w:rPr>
                <w:rFonts w:ascii="Calibri" w:hAnsi="Calibri" w:cs="Calibri"/>
                <w:bCs/>
                <w:color w:val="000000" w:themeColor="text1"/>
                <w:sz w:val="20"/>
                <w:lang w:eastAsia="it-IT"/>
              </w:rPr>
            </w:pPr>
            <w:r w:rsidRPr="00331B7B">
              <w:rPr>
                <w:rFonts w:ascii="Calibri" w:hAnsi="Calibri" w:cs="Calibri"/>
                <w:bCs/>
                <w:color w:val="000000" w:themeColor="text1"/>
                <w:sz w:val="20"/>
                <w:lang w:eastAsia="it-IT"/>
              </w:rPr>
              <w:t>1,87%</w:t>
            </w:r>
          </w:p>
        </w:tc>
        <w:tc>
          <w:tcPr>
            <w:tcW w:w="995" w:type="dxa"/>
            <w:shd w:val="clear" w:color="auto" w:fill="E7E6E6"/>
            <w:vAlign w:val="center"/>
            <w:hideMark/>
          </w:tcPr>
          <w:p w14:paraId="2F0A7574" w14:textId="77777777" w:rsidR="00331B7B" w:rsidRPr="00331B7B" w:rsidRDefault="00331B7B" w:rsidP="006F5F60">
            <w:pPr>
              <w:jc w:val="center"/>
              <w:rPr>
                <w:rFonts w:ascii="Calibri" w:hAnsi="Calibri" w:cs="Calibri"/>
                <w:bCs/>
                <w:color w:val="000000" w:themeColor="text1"/>
                <w:sz w:val="20"/>
                <w:lang w:eastAsia="it-IT"/>
              </w:rPr>
            </w:pPr>
            <w:r w:rsidRPr="00331B7B">
              <w:rPr>
                <w:rFonts w:ascii="Calibri" w:hAnsi="Calibri" w:cs="Calibri"/>
                <w:bCs/>
                <w:color w:val="000000" w:themeColor="text1"/>
                <w:sz w:val="20"/>
                <w:lang w:eastAsia="it-IT"/>
              </w:rPr>
              <w:t>7,31%</w:t>
            </w:r>
          </w:p>
        </w:tc>
        <w:tc>
          <w:tcPr>
            <w:tcW w:w="1276" w:type="dxa"/>
            <w:shd w:val="clear" w:color="auto" w:fill="E7E6E6"/>
            <w:vAlign w:val="center"/>
            <w:hideMark/>
          </w:tcPr>
          <w:p w14:paraId="3F48A501" w14:textId="77777777" w:rsidR="00331B7B" w:rsidRPr="00331B7B" w:rsidRDefault="00331B7B" w:rsidP="006F5F60">
            <w:pPr>
              <w:jc w:val="center"/>
              <w:rPr>
                <w:rFonts w:ascii="Calibri" w:hAnsi="Calibri" w:cs="Calibri"/>
                <w:bCs/>
                <w:color w:val="000000" w:themeColor="text1"/>
                <w:sz w:val="20"/>
                <w:lang w:eastAsia="it-IT"/>
              </w:rPr>
            </w:pPr>
            <w:r w:rsidRPr="00331B7B">
              <w:rPr>
                <w:rFonts w:ascii="Calibri" w:hAnsi="Calibri" w:cs="Calibri"/>
                <w:bCs/>
                <w:color w:val="000000" w:themeColor="text1"/>
                <w:sz w:val="20"/>
                <w:lang w:eastAsia="it-IT"/>
              </w:rPr>
              <w:t>0,89%</w:t>
            </w:r>
          </w:p>
        </w:tc>
        <w:tc>
          <w:tcPr>
            <w:tcW w:w="1277" w:type="dxa"/>
            <w:shd w:val="clear" w:color="auto" w:fill="E7E6E6"/>
            <w:vAlign w:val="center"/>
            <w:hideMark/>
          </w:tcPr>
          <w:p w14:paraId="60EEE43D" w14:textId="77777777" w:rsidR="00331B7B" w:rsidRPr="00331B7B" w:rsidRDefault="00331B7B" w:rsidP="006F5F60">
            <w:pPr>
              <w:jc w:val="center"/>
              <w:rPr>
                <w:rFonts w:ascii="Calibri" w:hAnsi="Calibri" w:cs="Calibri"/>
                <w:bCs/>
                <w:color w:val="000000" w:themeColor="text1"/>
                <w:sz w:val="20"/>
                <w:lang w:eastAsia="it-IT"/>
              </w:rPr>
            </w:pPr>
            <w:r w:rsidRPr="00331B7B">
              <w:rPr>
                <w:rFonts w:ascii="Calibri" w:hAnsi="Calibri" w:cs="Calibri"/>
                <w:bCs/>
                <w:color w:val="000000" w:themeColor="text1"/>
                <w:sz w:val="20"/>
                <w:lang w:eastAsia="it-IT"/>
              </w:rPr>
              <w:t>1,79%</w:t>
            </w:r>
          </w:p>
        </w:tc>
        <w:tc>
          <w:tcPr>
            <w:tcW w:w="991" w:type="dxa"/>
            <w:shd w:val="clear" w:color="auto" w:fill="E7E6E6"/>
            <w:vAlign w:val="center"/>
            <w:hideMark/>
          </w:tcPr>
          <w:p w14:paraId="47B6DFF0" w14:textId="77777777" w:rsidR="00331B7B" w:rsidRPr="00331B7B" w:rsidRDefault="00331B7B" w:rsidP="006F5F60">
            <w:pPr>
              <w:jc w:val="center"/>
              <w:rPr>
                <w:rFonts w:ascii="Calibri" w:hAnsi="Calibri" w:cs="Calibri"/>
                <w:bCs/>
                <w:color w:val="000000" w:themeColor="text1"/>
                <w:sz w:val="20"/>
                <w:lang w:eastAsia="it-IT"/>
              </w:rPr>
            </w:pPr>
            <w:r w:rsidRPr="00331B7B">
              <w:rPr>
                <w:rFonts w:ascii="Calibri" w:hAnsi="Calibri" w:cs="Calibri"/>
                <w:bCs/>
                <w:color w:val="000000" w:themeColor="text1"/>
                <w:sz w:val="20"/>
                <w:lang w:eastAsia="it-IT"/>
              </w:rPr>
              <w:t>3,66%</w:t>
            </w:r>
          </w:p>
        </w:tc>
      </w:tr>
      <w:tr w:rsidR="00331B7B" w:rsidRPr="00331B7B" w14:paraId="52C56F1A" w14:textId="77777777" w:rsidTr="00DE73AC">
        <w:trPr>
          <w:trHeight w:val="900"/>
          <w:jc w:val="center"/>
        </w:trPr>
        <w:tc>
          <w:tcPr>
            <w:tcW w:w="2284" w:type="dxa"/>
            <w:shd w:val="clear" w:color="auto" w:fill="D0CECE"/>
            <w:vAlign w:val="center"/>
            <w:hideMark/>
          </w:tcPr>
          <w:p w14:paraId="6A925E89" w14:textId="77777777" w:rsidR="00331B7B" w:rsidRPr="00331B7B" w:rsidRDefault="00331B7B" w:rsidP="006F5F60">
            <w:pPr>
              <w:rPr>
                <w:rFonts w:ascii="Calibri" w:hAnsi="Calibri" w:cs="Calibri"/>
                <w:b/>
                <w:bCs/>
                <w:color w:val="000000" w:themeColor="text1"/>
                <w:sz w:val="20"/>
                <w:lang w:eastAsia="it-IT"/>
              </w:rPr>
            </w:pPr>
            <w:r w:rsidRPr="00331B7B">
              <w:rPr>
                <w:rFonts w:ascii="Calibri" w:hAnsi="Calibri" w:cs="Calibri"/>
                <w:b/>
                <w:bCs/>
                <w:color w:val="000000" w:themeColor="text1"/>
                <w:sz w:val="20"/>
                <w:lang w:eastAsia="it-IT"/>
              </w:rPr>
              <w:t>Direzione Programmazione e Finanza</w:t>
            </w:r>
          </w:p>
        </w:tc>
        <w:tc>
          <w:tcPr>
            <w:tcW w:w="1571" w:type="dxa"/>
            <w:shd w:val="clear" w:color="auto" w:fill="E7E6E6"/>
            <w:vAlign w:val="center"/>
            <w:hideMark/>
          </w:tcPr>
          <w:p w14:paraId="0C419B51" w14:textId="77777777" w:rsidR="00331B7B" w:rsidRPr="00331B7B" w:rsidRDefault="00331B7B" w:rsidP="006F5F60">
            <w:pPr>
              <w:jc w:val="center"/>
              <w:rPr>
                <w:rFonts w:ascii="Calibri" w:hAnsi="Calibri" w:cs="Calibri"/>
                <w:bCs/>
                <w:color w:val="000000" w:themeColor="text1"/>
                <w:sz w:val="20"/>
                <w:lang w:eastAsia="it-IT"/>
              </w:rPr>
            </w:pPr>
            <w:r w:rsidRPr="00331B7B">
              <w:rPr>
                <w:rFonts w:ascii="Calibri" w:hAnsi="Calibri" w:cs="Calibri"/>
                <w:bCs/>
                <w:color w:val="000000" w:themeColor="text1"/>
                <w:sz w:val="20"/>
                <w:lang w:eastAsia="it-IT"/>
              </w:rPr>
              <w:t>14,19%</w:t>
            </w:r>
          </w:p>
        </w:tc>
        <w:tc>
          <w:tcPr>
            <w:tcW w:w="1262" w:type="dxa"/>
            <w:shd w:val="clear" w:color="auto" w:fill="E7E6E6"/>
            <w:vAlign w:val="center"/>
            <w:hideMark/>
          </w:tcPr>
          <w:p w14:paraId="4BF03B55" w14:textId="77777777" w:rsidR="00331B7B" w:rsidRPr="00331B7B" w:rsidRDefault="00331B7B" w:rsidP="006F5F60">
            <w:pPr>
              <w:jc w:val="center"/>
              <w:rPr>
                <w:rFonts w:ascii="Calibri" w:hAnsi="Calibri" w:cs="Calibri"/>
                <w:bCs/>
                <w:color w:val="000000" w:themeColor="text1"/>
                <w:sz w:val="20"/>
                <w:lang w:eastAsia="it-IT"/>
              </w:rPr>
            </w:pPr>
            <w:r w:rsidRPr="00331B7B">
              <w:rPr>
                <w:rFonts w:ascii="Calibri" w:hAnsi="Calibri" w:cs="Calibri"/>
                <w:bCs/>
                <w:color w:val="000000" w:themeColor="text1"/>
                <w:sz w:val="20"/>
                <w:lang w:eastAsia="it-IT"/>
              </w:rPr>
              <w:t>1,49%</w:t>
            </w:r>
          </w:p>
        </w:tc>
        <w:tc>
          <w:tcPr>
            <w:tcW w:w="995" w:type="dxa"/>
            <w:shd w:val="clear" w:color="auto" w:fill="E7E6E6"/>
            <w:vAlign w:val="center"/>
            <w:hideMark/>
          </w:tcPr>
          <w:p w14:paraId="5A20FB9A" w14:textId="77777777" w:rsidR="00331B7B" w:rsidRPr="00331B7B" w:rsidRDefault="00331B7B" w:rsidP="006F5F60">
            <w:pPr>
              <w:jc w:val="center"/>
              <w:rPr>
                <w:rFonts w:ascii="Calibri" w:hAnsi="Calibri" w:cs="Calibri"/>
                <w:bCs/>
                <w:color w:val="000000" w:themeColor="text1"/>
                <w:sz w:val="20"/>
                <w:lang w:eastAsia="it-IT"/>
              </w:rPr>
            </w:pPr>
            <w:r w:rsidRPr="00331B7B">
              <w:rPr>
                <w:rFonts w:ascii="Calibri" w:hAnsi="Calibri" w:cs="Calibri"/>
                <w:bCs/>
                <w:color w:val="000000" w:themeColor="text1"/>
                <w:sz w:val="20"/>
                <w:lang w:eastAsia="it-IT"/>
              </w:rPr>
              <w:t>8,58%</w:t>
            </w:r>
          </w:p>
        </w:tc>
        <w:tc>
          <w:tcPr>
            <w:tcW w:w="1276" w:type="dxa"/>
            <w:shd w:val="clear" w:color="auto" w:fill="E7E6E6"/>
            <w:vAlign w:val="center"/>
            <w:hideMark/>
          </w:tcPr>
          <w:p w14:paraId="3E6126FA" w14:textId="77777777" w:rsidR="00331B7B" w:rsidRPr="00331B7B" w:rsidRDefault="00331B7B" w:rsidP="006F5F60">
            <w:pPr>
              <w:jc w:val="center"/>
              <w:rPr>
                <w:rFonts w:ascii="Calibri" w:hAnsi="Calibri" w:cs="Calibri"/>
                <w:bCs/>
                <w:color w:val="000000" w:themeColor="text1"/>
                <w:sz w:val="20"/>
                <w:lang w:eastAsia="it-IT"/>
              </w:rPr>
            </w:pPr>
            <w:r w:rsidRPr="00331B7B">
              <w:rPr>
                <w:rFonts w:ascii="Calibri" w:hAnsi="Calibri" w:cs="Calibri"/>
                <w:bCs/>
                <w:color w:val="000000" w:themeColor="text1"/>
                <w:sz w:val="20"/>
                <w:lang w:eastAsia="it-IT"/>
              </w:rPr>
              <w:t>3,74%</w:t>
            </w:r>
          </w:p>
        </w:tc>
        <w:tc>
          <w:tcPr>
            <w:tcW w:w="1277" w:type="dxa"/>
            <w:shd w:val="clear" w:color="auto" w:fill="E7E6E6"/>
            <w:vAlign w:val="center"/>
            <w:hideMark/>
          </w:tcPr>
          <w:p w14:paraId="30210B1B" w14:textId="77777777" w:rsidR="00331B7B" w:rsidRPr="00331B7B" w:rsidRDefault="00331B7B" w:rsidP="006F5F60">
            <w:pPr>
              <w:jc w:val="center"/>
              <w:rPr>
                <w:rFonts w:ascii="Calibri" w:hAnsi="Calibri" w:cs="Calibri"/>
                <w:bCs/>
                <w:color w:val="000000" w:themeColor="text1"/>
                <w:sz w:val="20"/>
                <w:lang w:eastAsia="it-IT"/>
              </w:rPr>
            </w:pPr>
            <w:r w:rsidRPr="00331B7B">
              <w:rPr>
                <w:rFonts w:ascii="Calibri" w:hAnsi="Calibri" w:cs="Calibri"/>
                <w:bCs/>
                <w:color w:val="000000" w:themeColor="text1"/>
                <w:sz w:val="20"/>
                <w:lang w:eastAsia="it-IT"/>
              </w:rPr>
              <w:t>0,38%</w:t>
            </w:r>
          </w:p>
        </w:tc>
        <w:tc>
          <w:tcPr>
            <w:tcW w:w="991" w:type="dxa"/>
            <w:shd w:val="clear" w:color="auto" w:fill="E7E6E6"/>
            <w:vAlign w:val="center"/>
            <w:hideMark/>
          </w:tcPr>
          <w:p w14:paraId="7EB3CCD1" w14:textId="77777777" w:rsidR="00331B7B" w:rsidRPr="00331B7B" w:rsidRDefault="00331B7B" w:rsidP="006F5F60">
            <w:pPr>
              <w:jc w:val="center"/>
              <w:rPr>
                <w:rFonts w:ascii="Calibri" w:hAnsi="Calibri" w:cs="Calibri"/>
                <w:bCs/>
                <w:color w:val="000000" w:themeColor="text1"/>
                <w:sz w:val="20"/>
                <w:lang w:eastAsia="it-IT"/>
              </w:rPr>
            </w:pPr>
            <w:r w:rsidRPr="00331B7B">
              <w:rPr>
                <w:rFonts w:ascii="Calibri" w:hAnsi="Calibri" w:cs="Calibri"/>
                <w:bCs/>
                <w:color w:val="000000" w:themeColor="text1"/>
                <w:sz w:val="20"/>
                <w:lang w:eastAsia="it-IT"/>
              </w:rPr>
              <w:t>1,87%</w:t>
            </w:r>
          </w:p>
        </w:tc>
      </w:tr>
      <w:tr w:rsidR="00331B7B" w:rsidRPr="00331B7B" w14:paraId="2DBEE7BC" w14:textId="77777777" w:rsidTr="00DE73AC">
        <w:trPr>
          <w:trHeight w:val="600"/>
          <w:jc w:val="center"/>
        </w:trPr>
        <w:tc>
          <w:tcPr>
            <w:tcW w:w="2284" w:type="dxa"/>
            <w:shd w:val="clear" w:color="auto" w:fill="D0CECE"/>
            <w:vAlign w:val="center"/>
            <w:hideMark/>
          </w:tcPr>
          <w:p w14:paraId="7B4417FA" w14:textId="77777777" w:rsidR="00331B7B" w:rsidRPr="00331B7B" w:rsidRDefault="00331B7B" w:rsidP="006F5F60">
            <w:pPr>
              <w:rPr>
                <w:rFonts w:ascii="Calibri" w:hAnsi="Calibri" w:cs="Calibri"/>
                <w:b/>
                <w:bCs/>
                <w:color w:val="000000" w:themeColor="text1"/>
                <w:sz w:val="20"/>
                <w:lang w:eastAsia="it-IT"/>
              </w:rPr>
            </w:pPr>
            <w:r w:rsidRPr="00331B7B">
              <w:rPr>
                <w:rFonts w:ascii="Calibri" w:hAnsi="Calibri" w:cs="Calibri"/>
                <w:b/>
                <w:bCs/>
                <w:color w:val="000000" w:themeColor="text1"/>
                <w:sz w:val="20"/>
                <w:lang w:eastAsia="it-IT"/>
              </w:rPr>
              <w:t>Direzione Tecnica</w:t>
            </w:r>
          </w:p>
        </w:tc>
        <w:tc>
          <w:tcPr>
            <w:tcW w:w="1571" w:type="dxa"/>
            <w:shd w:val="clear" w:color="auto" w:fill="E7E6E6"/>
            <w:vAlign w:val="center"/>
            <w:hideMark/>
          </w:tcPr>
          <w:p w14:paraId="7E58C25C" w14:textId="77777777" w:rsidR="00331B7B" w:rsidRPr="00331B7B" w:rsidRDefault="00331B7B" w:rsidP="006F5F60">
            <w:pPr>
              <w:jc w:val="center"/>
              <w:rPr>
                <w:rFonts w:ascii="Calibri" w:hAnsi="Calibri" w:cs="Calibri"/>
                <w:bCs/>
                <w:color w:val="000000" w:themeColor="text1"/>
                <w:sz w:val="20"/>
                <w:lang w:eastAsia="it-IT"/>
              </w:rPr>
            </w:pPr>
            <w:r w:rsidRPr="00331B7B">
              <w:rPr>
                <w:rFonts w:ascii="Calibri" w:hAnsi="Calibri" w:cs="Calibri"/>
                <w:bCs/>
                <w:color w:val="000000" w:themeColor="text1"/>
                <w:sz w:val="20"/>
                <w:lang w:eastAsia="it-IT"/>
              </w:rPr>
              <w:t>16,14%</w:t>
            </w:r>
          </w:p>
        </w:tc>
        <w:tc>
          <w:tcPr>
            <w:tcW w:w="1262" w:type="dxa"/>
            <w:shd w:val="clear" w:color="auto" w:fill="E7E6E6"/>
            <w:vAlign w:val="center"/>
            <w:hideMark/>
          </w:tcPr>
          <w:p w14:paraId="2E253D08" w14:textId="77777777" w:rsidR="00331B7B" w:rsidRPr="00331B7B" w:rsidRDefault="00331B7B" w:rsidP="006F5F60">
            <w:pPr>
              <w:jc w:val="center"/>
              <w:rPr>
                <w:rFonts w:ascii="Calibri" w:hAnsi="Calibri" w:cs="Calibri"/>
                <w:bCs/>
                <w:color w:val="000000" w:themeColor="text1"/>
                <w:sz w:val="20"/>
                <w:lang w:eastAsia="it-IT"/>
              </w:rPr>
            </w:pPr>
            <w:r w:rsidRPr="00331B7B">
              <w:rPr>
                <w:rFonts w:ascii="Calibri" w:hAnsi="Calibri" w:cs="Calibri"/>
                <w:bCs/>
                <w:color w:val="000000" w:themeColor="text1"/>
                <w:sz w:val="20"/>
                <w:lang w:eastAsia="it-IT"/>
              </w:rPr>
              <w:t>1,77%</w:t>
            </w:r>
          </w:p>
        </w:tc>
        <w:tc>
          <w:tcPr>
            <w:tcW w:w="995" w:type="dxa"/>
            <w:shd w:val="clear" w:color="auto" w:fill="E7E6E6"/>
            <w:vAlign w:val="center"/>
            <w:hideMark/>
          </w:tcPr>
          <w:p w14:paraId="65A32E40" w14:textId="77777777" w:rsidR="00331B7B" w:rsidRPr="00331B7B" w:rsidRDefault="00331B7B" w:rsidP="006F5F60">
            <w:pPr>
              <w:jc w:val="center"/>
              <w:rPr>
                <w:rFonts w:ascii="Calibri" w:hAnsi="Calibri" w:cs="Calibri"/>
                <w:bCs/>
                <w:color w:val="000000" w:themeColor="text1"/>
                <w:sz w:val="20"/>
                <w:lang w:eastAsia="it-IT"/>
              </w:rPr>
            </w:pPr>
            <w:r w:rsidRPr="00331B7B">
              <w:rPr>
                <w:rFonts w:ascii="Calibri" w:hAnsi="Calibri" w:cs="Calibri"/>
                <w:bCs/>
                <w:color w:val="000000" w:themeColor="text1"/>
                <w:sz w:val="20"/>
                <w:lang w:eastAsia="it-IT"/>
              </w:rPr>
              <w:t>9,54%</w:t>
            </w:r>
          </w:p>
        </w:tc>
        <w:tc>
          <w:tcPr>
            <w:tcW w:w="1276" w:type="dxa"/>
            <w:shd w:val="clear" w:color="auto" w:fill="E7E6E6"/>
            <w:vAlign w:val="center"/>
            <w:hideMark/>
          </w:tcPr>
          <w:p w14:paraId="40323EFE" w14:textId="77777777" w:rsidR="00331B7B" w:rsidRPr="00331B7B" w:rsidRDefault="00331B7B" w:rsidP="006F5F60">
            <w:pPr>
              <w:jc w:val="center"/>
              <w:rPr>
                <w:rFonts w:ascii="Calibri" w:hAnsi="Calibri" w:cs="Calibri"/>
                <w:bCs/>
                <w:color w:val="000000" w:themeColor="text1"/>
                <w:sz w:val="20"/>
                <w:lang w:eastAsia="it-IT"/>
              </w:rPr>
            </w:pPr>
            <w:r w:rsidRPr="00331B7B">
              <w:rPr>
                <w:rFonts w:ascii="Calibri" w:hAnsi="Calibri" w:cs="Calibri"/>
                <w:bCs/>
                <w:color w:val="000000" w:themeColor="text1"/>
                <w:sz w:val="20"/>
                <w:lang w:eastAsia="it-IT"/>
              </w:rPr>
              <w:t>4,28%</w:t>
            </w:r>
          </w:p>
        </w:tc>
        <w:tc>
          <w:tcPr>
            <w:tcW w:w="1277" w:type="dxa"/>
            <w:shd w:val="clear" w:color="auto" w:fill="E7E6E6"/>
            <w:vAlign w:val="center"/>
            <w:hideMark/>
          </w:tcPr>
          <w:p w14:paraId="62A765C5" w14:textId="77777777" w:rsidR="00331B7B" w:rsidRPr="00331B7B" w:rsidRDefault="00331B7B" w:rsidP="006F5F60">
            <w:pPr>
              <w:jc w:val="center"/>
              <w:rPr>
                <w:rFonts w:ascii="Calibri" w:hAnsi="Calibri" w:cs="Calibri"/>
                <w:bCs/>
                <w:color w:val="000000" w:themeColor="text1"/>
                <w:sz w:val="20"/>
                <w:lang w:eastAsia="it-IT"/>
              </w:rPr>
            </w:pPr>
            <w:r w:rsidRPr="00331B7B">
              <w:rPr>
                <w:rFonts w:ascii="Calibri" w:hAnsi="Calibri" w:cs="Calibri"/>
                <w:bCs/>
                <w:color w:val="000000" w:themeColor="text1"/>
                <w:sz w:val="20"/>
                <w:lang w:eastAsia="it-IT"/>
              </w:rPr>
              <w:t>0,55%</w:t>
            </w:r>
          </w:p>
        </w:tc>
        <w:tc>
          <w:tcPr>
            <w:tcW w:w="991" w:type="dxa"/>
            <w:shd w:val="clear" w:color="auto" w:fill="E7E6E6"/>
            <w:vAlign w:val="center"/>
            <w:hideMark/>
          </w:tcPr>
          <w:p w14:paraId="4AF82C0E" w14:textId="77777777" w:rsidR="00331B7B" w:rsidRPr="00331B7B" w:rsidRDefault="00331B7B" w:rsidP="006F5F60">
            <w:pPr>
              <w:jc w:val="center"/>
              <w:rPr>
                <w:rFonts w:ascii="Calibri" w:hAnsi="Calibri" w:cs="Calibri"/>
                <w:bCs/>
                <w:color w:val="000000" w:themeColor="text1"/>
                <w:sz w:val="20"/>
                <w:lang w:eastAsia="it-IT"/>
              </w:rPr>
            </w:pPr>
            <w:r w:rsidRPr="00331B7B">
              <w:rPr>
                <w:rFonts w:ascii="Calibri" w:hAnsi="Calibri" w:cs="Calibri"/>
                <w:bCs/>
                <w:color w:val="000000" w:themeColor="text1"/>
                <w:sz w:val="20"/>
                <w:lang w:eastAsia="it-IT"/>
              </w:rPr>
              <w:t>2,32%</w:t>
            </w:r>
          </w:p>
        </w:tc>
      </w:tr>
      <w:tr w:rsidR="00331B7B" w:rsidRPr="00331B7B" w14:paraId="6D45D2E2" w14:textId="77777777" w:rsidTr="00DE73AC">
        <w:trPr>
          <w:trHeight w:val="900"/>
          <w:jc w:val="center"/>
        </w:trPr>
        <w:tc>
          <w:tcPr>
            <w:tcW w:w="2284" w:type="dxa"/>
            <w:shd w:val="clear" w:color="auto" w:fill="D0CECE"/>
            <w:vAlign w:val="center"/>
            <w:hideMark/>
          </w:tcPr>
          <w:p w14:paraId="0FCCD830" w14:textId="77777777" w:rsidR="00331B7B" w:rsidRPr="00331B7B" w:rsidRDefault="00331B7B" w:rsidP="006F5F60">
            <w:pPr>
              <w:rPr>
                <w:rFonts w:ascii="Calibri" w:hAnsi="Calibri" w:cs="Calibri"/>
                <w:b/>
                <w:bCs/>
                <w:color w:val="000000" w:themeColor="text1"/>
                <w:sz w:val="20"/>
                <w:lang w:eastAsia="it-IT"/>
              </w:rPr>
            </w:pPr>
            <w:r w:rsidRPr="00331B7B">
              <w:rPr>
                <w:rFonts w:ascii="Calibri" w:hAnsi="Calibri" w:cs="Calibri"/>
                <w:b/>
                <w:bCs/>
                <w:color w:val="000000" w:themeColor="text1"/>
                <w:sz w:val="20"/>
                <w:lang w:eastAsia="it-IT"/>
              </w:rPr>
              <w:t>Struttura di Staff del Presidente e del Segretario Generale</w:t>
            </w:r>
          </w:p>
        </w:tc>
        <w:tc>
          <w:tcPr>
            <w:tcW w:w="1571" w:type="dxa"/>
            <w:shd w:val="clear" w:color="auto" w:fill="E7E6E6"/>
            <w:vAlign w:val="center"/>
            <w:hideMark/>
          </w:tcPr>
          <w:p w14:paraId="408E6874" w14:textId="77777777" w:rsidR="00331B7B" w:rsidRPr="00331B7B" w:rsidRDefault="00331B7B" w:rsidP="006F5F60">
            <w:pPr>
              <w:jc w:val="center"/>
              <w:rPr>
                <w:rFonts w:ascii="Calibri" w:hAnsi="Calibri" w:cs="Calibri"/>
                <w:bCs/>
                <w:color w:val="000000" w:themeColor="text1"/>
                <w:sz w:val="20"/>
                <w:lang w:eastAsia="it-IT"/>
              </w:rPr>
            </w:pPr>
            <w:r w:rsidRPr="00331B7B">
              <w:rPr>
                <w:rFonts w:ascii="Calibri" w:hAnsi="Calibri" w:cs="Calibri"/>
                <w:bCs/>
                <w:color w:val="000000" w:themeColor="text1"/>
                <w:sz w:val="20"/>
                <w:lang w:eastAsia="it-IT"/>
              </w:rPr>
              <w:t>15,78%</w:t>
            </w:r>
          </w:p>
        </w:tc>
        <w:tc>
          <w:tcPr>
            <w:tcW w:w="1262" w:type="dxa"/>
            <w:shd w:val="clear" w:color="auto" w:fill="E7E6E6"/>
            <w:vAlign w:val="center"/>
            <w:hideMark/>
          </w:tcPr>
          <w:p w14:paraId="3249FAC4" w14:textId="77777777" w:rsidR="00331B7B" w:rsidRPr="00331B7B" w:rsidRDefault="00331B7B" w:rsidP="006F5F60">
            <w:pPr>
              <w:jc w:val="center"/>
              <w:rPr>
                <w:rFonts w:ascii="Calibri" w:hAnsi="Calibri" w:cs="Calibri"/>
                <w:bCs/>
                <w:color w:val="000000" w:themeColor="text1"/>
                <w:sz w:val="20"/>
                <w:lang w:eastAsia="it-IT"/>
              </w:rPr>
            </w:pPr>
            <w:r w:rsidRPr="00331B7B">
              <w:rPr>
                <w:rFonts w:ascii="Calibri" w:hAnsi="Calibri" w:cs="Calibri"/>
                <w:bCs/>
                <w:color w:val="000000" w:themeColor="text1"/>
                <w:sz w:val="20"/>
                <w:lang w:eastAsia="it-IT"/>
              </w:rPr>
              <w:t>3,79%</w:t>
            </w:r>
          </w:p>
        </w:tc>
        <w:tc>
          <w:tcPr>
            <w:tcW w:w="995" w:type="dxa"/>
            <w:shd w:val="clear" w:color="auto" w:fill="E7E6E6"/>
            <w:vAlign w:val="center"/>
            <w:hideMark/>
          </w:tcPr>
          <w:p w14:paraId="5B25F5C3" w14:textId="77777777" w:rsidR="00331B7B" w:rsidRPr="00331B7B" w:rsidRDefault="00331B7B" w:rsidP="006F5F60">
            <w:pPr>
              <w:jc w:val="center"/>
              <w:rPr>
                <w:rFonts w:ascii="Calibri" w:hAnsi="Calibri" w:cs="Calibri"/>
                <w:bCs/>
                <w:color w:val="000000" w:themeColor="text1"/>
                <w:sz w:val="20"/>
                <w:lang w:eastAsia="it-IT"/>
              </w:rPr>
            </w:pPr>
            <w:r w:rsidRPr="00331B7B">
              <w:rPr>
                <w:rFonts w:ascii="Calibri" w:hAnsi="Calibri" w:cs="Calibri"/>
                <w:bCs/>
                <w:color w:val="000000" w:themeColor="text1"/>
                <w:sz w:val="20"/>
                <w:lang w:eastAsia="it-IT"/>
              </w:rPr>
              <w:t>8,79%</w:t>
            </w:r>
          </w:p>
        </w:tc>
        <w:tc>
          <w:tcPr>
            <w:tcW w:w="1276" w:type="dxa"/>
            <w:shd w:val="clear" w:color="auto" w:fill="E7E6E6"/>
            <w:vAlign w:val="center"/>
            <w:hideMark/>
          </w:tcPr>
          <w:p w14:paraId="5A521B65" w14:textId="77777777" w:rsidR="00331B7B" w:rsidRPr="00331B7B" w:rsidRDefault="00331B7B" w:rsidP="006F5F60">
            <w:pPr>
              <w:jc w:val="center"/>
              <w:rPr>
                <w:rFonts w:ascii="Calibri" w:hAnsi="Calibri" w:cs="Calibri"/>
                <w:bCs/>
                <w:color w:val="000000" w:themeColor="text1"/>
                <w:sz w:val="20"/>
                <w:lang w:eastAsia="it-IT"/>
              </w:rPr>
            </w:pPr>
            <w:r w:rsidRPr="00331B7B">
              <w:rPr>
                <w:rFonts w:ascii="Calibri" w:hAnsi="Calibri" w:cs="Calibri"/>
                <w:bCs/>
                <w:color w:val="000000" w:themeColor="text1"/>
                <w:sz w:val="20"/>
                <w:lang w:eastAsia="it-IT"/>
              </w:rPr>
              <w:t>2,40%</w:t>
            </w:r>
          </w:p>
        </w:tc>
        <w:tc>
          <w:tcPr>
            <w:tcW w:w="1277" w:type="dxa"/>
            <w:shd w:val="clear" w:color="auto" w:fill="E7E6E6"/>
            <w:vAlign w:val="center"/>
            <w:hideMark/>
          </w:tcPr>
          <w:p w14:paraId="1AF1DE91" w14:textId="77777777" w:rsidR="00331B7B" w:rsidRPr="00331B7B" w:rsidRDefault="00331B7B" w:rsidP="006F5F60">
            <w:pPr>
              <w:jc w:val="center"/>
              <w:rPr>
                <w:rFonts w:ascii="Calibri" w:hAnsi="Calibri" w:cs="Calibri"/>
                <w:bCs/>
                <w:color w:val="000000" w:themeColor="text1"/>
                <w:sz w:val="20"/>
                <w:lang w:eastAsia="it-IT"/>
              </w:rPr>
            </w:pPr>
            <w:r w:rsidRPr="00331B7B">
              <w:rPr>
                <w:rFonts w:ascii="Calibri" w:hAnsi="Calibri" w:cs="Calibri"/>
                <w:bCs/>
                <w:color w:val="000000" w:themeColor="text1"/>
                <w:sz w:val="20"/>
                <w:lang w:eastAsia="it-IT"/>
              </w:rPr>
              <w:t>0,80%</w:t>
            </w:r>
          </w:p>
        </w:tc>
        <w:tc>
          <w:tcPr>
            <w:tcW w:w="991" w:type="dxa"/>
            <w:shd w:val="clear" w:color="auto" w:fill="E7E6E6"/>
            <w:vAlign w:val="center"/>
            <w:hideMark/>
          </w:tcPr>
          <w:p w14:paraId="4BF4113B" w14:textId="77777777" w:rsidR="00331B7B" w:rsidRPr="00331B7B" w:rsidRDefault="00331B7B" w:rsidP="006F5F60">
            <w:pPr>
              <w:jc w:val="center"/>
              <w:rPr>
                <w:rFonts w:ascii="Calibri" w:hAnsi="Calibri" w:cs="Calibri"/>
                <w:bCs/>
                <w:color w:val="000000" w:themeColor="text1"/>
                <w:sz w:val="20"/>
                <w:lang w:eastAsia="it-IT"/>
              </w:rPr>
            </w:pPr>
            <w:r w:rsidRPr="00331B7B">
              <w:rPr>
                <w:rFonts w:ascii="Calibri" w:hAnsi="Calibri" w:cs="Calibri"/>
                <w:bCs/>
                <w:color w:val="000000" w:themeColor="text1"/>
                <w:sz w:val="20"/>
                <w:lang w:eastAsia="it-IT"/>
              </w:rPr>
              <w:t>4,59%</w:t>
            </w:r>
          </w:p>
        </w:tc>
      </w:tr>
      <w:tr w:rsidR="00331B7B" w:rsidRPr="00331B7B" w14:paraId="671F5C39" w14:textId="77777777" w:rsidTr="00DE73AC">
        <w:trPr>
          <w:trHeight w:val="600"/>
          <w:jc w:val="center"/>
        </w:trPr>
        <w:tc>
          <w:tcPr>
            <w:tcW w:w="2284" w:type="dxa"/>
            <w:shd w:val="clear" w:color="auto" w:fill="D0CECE"/>
            <w:vAlign w:val="center"/>
            <w:hideMark/>
          </w:tcPr>
          <w:p w14:paraId="2AB808C3" w14:textId="77777777" w:rsidR="00331B7B" w:rsidRPr="00331B7B" w:rsidRDefault="00331B7B" w:rsidP="006F5F60">
            <w:pPr>
              <w:rPr>
                <w:rFonts w:ascii="Calibri" w:hAnsi="Calibri" w:cs="Calibri"/>
                <w:b/>
                <w:bCs/>
                <w:color w:val="000000" w:themeColor="text1"/>
                <w:sz w:val="20"/>
                <w:lang w:eastAsia="it-IT"/>
              </w:rPr>
            </w:pPr>
            <w:r w:rsidRPr="00331B7B">
              <w:rPr>
                <w:rFonts w:ascii="Calibri" w:hAnsi="Calibri" w:cs="Calibri"/>
                <w:b/>
                <w:bCs/>
                <w:color w:val="000000" w:themeColor="text1"/>
                <w:sz w:val="20"/>
                <w:lang w:eastAsia="it-IT"/>
              </w:rPr>
              <w:t>Totali</w:t>
            </w:r>
          </w:p>
        </w:tc>
        <w:tc>
          <w:tcPr>
            <w:tcW w:w="1571" w:type="dxa"/>
            <w:shd w:val="clear" w:color="auto" w:fill="E7E6E6"/>
            <w:vAlign w:val="center"/>
            <w:hideMark/>
          </w:tcPr>
          <w:p w14:paraId="7134E09A" w14:textId="77777777" w:rsidR="00331B7B" w:rsidRPr="00331B7B" w:rsidRDefault="00331B7B" w:rsidP="006F5F60">
            <w:pPr>
              <w:jc w:val="center"/>
              <w:rPr>
                <w:rFonts w:ascii="Calibri" w:hAnsi="Calibri" w:cs="Calibri"/>
                <w:bCs/>
                <w:color w:val="000000" w:themeColor="text1"/>
                <w:sz w:val="20"/>
                <w:lang w:eastAsia="it-IT"/>
              </w:rPr>
            </w:pPr>
            <w:r w:rsidRPr="00331B7B">
              <w:rPr>
                <w:rFonts w:ascii="Calibri" w:hAnsi="Calibri" w:cs="Calibri"/>
                <w:bCs/>
                <w:color w:val="000000" w:themeColor="text1"/>
                <w:sz w:val="20"/>
                <w:lang w:eastAsia="it-IT"/>
              </w:rPr>
              <w:t>14,42%</w:t>
            </w:r>
          </w:p>
        </w:tc>
        <w:tc>
          <w:tcPr>
            <w:tcW w:w="1262" w:type="dxa"/>
            <w:shd w:val="clear" w:color="auto" w:fill="E7E6E6"/>
            <w:vAlign w:val="center"/>
            <w:hideMark/>
          </w:tcPr>
          <w:p w14:paraId="149963E4" w14:textId="77777777" w:rsidR="00331B7B" w:rsidRPr="00331B7B" w:rsidRDefault="00331B7B" w:rsidP="006F5F60">
            <w:pPr>
              <w:jc w:val="center"/>
              <w:rPr>
                <w:rFonts w:ascii="Calibri" w:hAnsi="Calibri" w:cs="Calibri"/>
                <w:bCs/>
                <w:color w:val="000000" w:themeColor="text1"/>
                <w:sz w:val="20"/>
                <w:lang w:eastAsia="it-IT"/>
              </w:rPr>
            </w:pPr>
            <w:r w:rsidRPr="00331B7B">
              <w:rPr>
                <w:rFonts w:ascii="Calibri" w:hAnsi="Calibri" w:cs="Calibri"/>
                <w:bCs/>
                <w:color w:val="000000" w:themeColor="text1"/>
                <w:sz w:val="20"/>
                <w:lang w:eastAsia="it-IT"/>
              </w:rPr>
              <w:t>2,51%</w:t>
            </w:r>
          </w:p>
        </w:tc>
        <w:tc>
          <w:tcPr>
            <w:tcW w:w="995" w:type="dxa"/>
            <w:shd w:val="clear" w:color="auto" w:fill="E7E6E6"/>
            <w:vAlign w:val="center"/>
            <w:hideMark/>
          </w:tcPr>
          <w:p w14:paraId="5B99E3B0" w14:textId="77777777" w:rsidR="00331B7B" w:rsidRPr="00331B7B" w:rsidRDefault="00331B7B" w:rsidP="006F5F60">
            <w:pPr>
              <w:jc w:val="center"/>
              <w:rPr>
                <w:rFonts w:ascii="Calibri" w:hAnsi="Calibri" w:cs="Calibri"/>
                <w:bCs/>
                <w:color w:val="000000" w:themeColor="text1"/>
                <w:sz w:val="20"/>
                <w:lang w:eastAsia="it-IT"/>
              </w:rPr>
            </w:pPr>
            <w:r w:rsidRPr="00331B7B">
              <w:rPr>
                <w:rFonts w:ascii="Calibri" w:hAnsi="Calibri" w:cs="Calibri"/>
                <w:bCs/>
                <w:color w:val="000000" w:themeColor="text1"/>
                <w:sz w:val="20"/>
                <w:lang w:eastAsia="it-IT"/>
              </w:rPr>
              <w:t>8,54%</w:t>
            </w:r>
          </w:p>
        </w:tc>
        <w:tc>
          <w:tcPr>
            <w:tcW w:w="1276" w:type="dxa"/>
            <w:shd w:val="clear" w:color="auto" w:fill="E7E6E6"/>
            <w:vAlign w:val="center"/>
            <w:hideMark/>
          </w:tcPr>
          <w:p w14:paraId="39C0CA2E" w14:textId="77777777" w:rsidR="00331B7B" w:rsidRPr="00331B7B" w:rsidRDefault="00331B7B" w:rsidP="006F5F60">
            <w:pPr>
              <w:jc w:val="center"/>
              <w:rPr>
                <w:rFonts w:ascii="Calibri" w:hAnsi="Calibri" w:cs="Calibri"/>
                <w:bCs/>
                <w:color w:val="000000" w:themeColor="text1"/>
                <w:sz w:val="20"/>
                <w:lang w:eastAsia="it-IT"/>
              </w:rPr>
            </w:pPr>
            <w:r w:rsidRPr="00331B7B">
              <w:rPr>
                <w:rFonts w:ascii="Calibri" w:hAnsi="Calibri" w:cs="Calibri"/>
                <w:bCs/>
                <w:color w:val="000000" w:themeColor="text1"/>
                <w:sz w:val="20"/>
                <w:lang w:eastAsia="it-IT"/>
              </w:rPr>
              <w:t>2,16%</w:t>
            </w:r>
          </w:p>
        </w:tc>
        <w:tc>
          <w:tcPr>
            <w:tcW w:w="1277" w:type="dxa"/>
            <w:shd w:val="clear" w:color="auto" w:fill="E7E6E6"/>
            <w:vAlign w:val="center"/>
            <w:hideMark/>
          </w:tcPr>
          <w:p w14:paraId="34190820" w14:textId="77777777" w:rsidR="00331B7B" w:rsidRPr="00331B7B" w:rsidRDefault="00331B7B" w:rsidP="006F5F60">
            <w:pPr>
              <w:jc w:val="center"/>
              <w:rPr>
                <w:rFonts w:ascii="Calibri" w:hAnsi="Calibri" w:cs="Calibri"/>
                <w:bCs/>
                <w:color w:val="000000" w:themeColor="text1"/>
                <w:sz w:val="20"/>
                <w:lang w:eastAsia="it-IT"/>
              </w:rPr>
            </w:pPr>
            <w:r w:rsidRPr="00331B7B">
              <w:rPr>
                <w:rFonts w:ascii="Calibri" w:hAnsi="Calibri" w:cs="Calibri"/>
                <w:bCs/>
                <w:color w:val="000000" w:themeColor="text1"/>
                <w:sz w:val="20"/>
                <w:lang w:eastAsia="it-IT"/>
              </w:rPr>
              <w:t>1,21%</w:t>
            </w:r>
          </w:p>
        </w:tc>
        <w:tc>
          <w:tcPr>
            <w:tcW w:w="991" w:type="dxa"/>
            <w:shd w:val="clear" w:color="auto" w:fill="E7E6E6"/>
            <w:vAlign w:val="center"/>
            <w:hideMark/>
          </w:tcPr>
          <w:p w14:paraId="3F597D0E" w14:textId="77777777" w:rsidR="00331B7B" w:rsidRPr="00331B7B" w:rsidRDefault="00331B7B" w:rsidP="006F5F60">
            <w:pPr>
              <w:jc w:val="center"/>
              <w:rPr>
                <w:rFonts w:ascii="Calibri" w:hAnsi="Calibri" w:cs="Calibri"/>
                <w:bCs/>
                <w:color w:val="000000" w:themeColor="text1"/>
                <w:sz w:val="20"/>
                <w:lang w:eastAsia="it-IT"/>
              </w:rPr>
            </w:pPr>
            <w:r w:rsidRPr="00331B7B">
              <w:rPr>
                <w:rFonts w:ascii="Calibri" w:hAnsi="Calibri" w:cs="Calibri"/>
                <w:bCs/>
                <w:color w:val="000000" w:themeColor="text1"/>
                <w:sz w:val="20"/>
                <w:lang w:eastAsia="it-IT"/>
              </w:rPr>
              <w:t>3,72%</w:t>
            </w:r>
          </w:p>
        </w:tc>
      </w:tr>
    </w:tbl>
    <w:p w14:paraId="3921E441" w14:textId="66D71AFF" w:rsidR="00331B7B" w:rsidRDefault="00A549AF" w:rsidP="00331B7B">
      <w:pPr>
        <w:jc w:val="both"/>
      </w:pPr>
      <w:r>
        <w:rPr>
          <w:noProof/>
          <w:lang w:eastAsia="it-IT"/>
        </w:rPr>
        <mc:AlternateContent>
          <mc:Choice Requires="wps">
            <w:drawing>
              <wp:anchor distT="0" distB="0" distL="114300" distR="114300" simplePos="0" relativeHeight="251669504" behindDoc="0" locked="0" layoutInCell="1" allowOverlap="1" wp14:anchorId="6533A0BF" wp14:editId="08AA9FC0">
                <wp:simplePos x="0" y="0"/>
                <wp:positionH relativeFrom="column">
                  <wp:posOffset>0</wp:posOffset>
                </wp:positionH>
                <wp:positionV relativeFrom="paragraph">
                  <wp:posOffset>-635</wp:posOffset>
                </wp:positionV>
                <wp:extent cx="6152379" cy="253706"/>
                <wp:effectExtent l="0" t="0" r="20320" b="13335"/>
                <wp:wrapNone/>
                <wp:docPr id="11" name="Casella di testo 11"/>
                <wp:cNvGraphicFramePr/>
                <a:graphic xmlns:a="http://schemas.openxmlformats.org/drawingml/2006/main">
                  <a:graphicData uri="http://schemas.microsoft.com/office/word/2010/wordprocessingShape">
                    <wps:wsp>
                      <wps:cNvSpPr txBox="1"/>
                      <wps:spPr>
                        <a:xfrm>
                          <a:off x="0" y="0"/>
                          <a:ext cx="6152379" cy="25370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EC1A5D5" w14:textId="7B183D40" w:rsidR="00786640" w:rsidRPr="00A549AF" w:rsidRDefault="00786640" w:rsidP="005D68AB">
                            <w:pPr>
                              <w:jc w:val="center"/>
                              <w:rPr>
                                <w:sz w:val="16"/>
                                <w:szCs w:val="16"/>
                              </w:rPr>
                            </w:pPr>
                            <w:r>
                              <w:rPr>
                                <w:sz w:val="16"/>
                                <w:szCs w:val="16"/>
                              </w:rPr>
                              <w:t>Tab. 4: Dinamiche di assenza della Pianta Organica dell’Autorità di Sistema Portuale del Mar Adriatico Settentrionale suddivise per strutture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6533A0BF" id="Casella di testo 11" o:spid="_x0000_s1028" type="#_x0000_t202" style="position:absolute;left:0;text-align:left;margin-left:0;margin-top:-.05pt;width:484.45pt;height:20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" fillcolor="white [3201]" strokeweight=".5pt">
                <v:textbox>
                  <w:txbxContent>
                    <w:p w14:paraId="2EC1A5D5" w14:textId="7B183D40" w:rsidR="00786640" w:rsidRPr="00A549AF" w:rsidRDefault="00786640" w:rsidP="005D68AB">
                      <w:pPr>
                        <w:jc w:val="center"/>
                        <w:rPr>
                          <w:sz w:val="16"/>
                          <w:szCs w:val="16"/>
                        </w:rPr>
                      </w:pPr>
                      <w:r>
                        <w:rPr>
                          <w:sz w:val="16"/>
                          <w:szCs w:val="16"/>
                        </w:rPr>
                        <w:t>Tab. 4: Dinamiche di assenza della Pianta Organica dell’Autorità di Sistema Portuale del Mar Adriatico Settentrionale suddivise per strutture</w:t>
                      </w:r>
                    </w:p>
                  </w:txbxContent>
                </v:textbox>
              </v:shape>
            </w:pict>
          </mc:Fallback>
        </mc:AlternateContent>
      </w:r>
    </w:p>
    <w:p w14:paraId="6BF2CAB7" w14:textId="5227975A" w:rsidR="00A549AF" w:rsidRDefault="00A549AF" w:rsidP="00782261">
      <w:pPr>
        <w:jc w:val="both"/>
      </w:pPr>
    </w:p>
    <w:p w14:paraId="4873B260" w14:textId="77777777" w:rsidR="00B82B11" w:rsidRDefault="00B82B11" w:rsidP="00B82B11">
      <w:pPr>
        <w:jc w:val="both"/>
      </w:pPr>
      <w:r>
        <w:t>Per quanto riguarda il lavoro a tempo parziale, nel corso del 2021 ci sono state due trasformazione da full-time a part-time, due da part time a full-time e cinque proroghe.  La situazione al 31/12/2021, per quanto riguarda il personale con un contratto di lavoro a tempo parziale è la seguente: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1"/>
        <w:gridCol w:w="1701"/>
      </w:tblGrid>
      <w:tr w:rsidR="00B82B11" w:rsidRPr="005368CA" w14:paraId="5B950434" w14:textId="77777777" w:rsidTr="00C31BDA">
        <w:trPr>
          <w:trHeight w:val="284"/>
          <w:jc w:val="center"/>
        </w:trPr>
        <w:tc>
          <w:tcPr>
            <w:tcW w:w="2081" w:type="dxa"/>
            <w:shd w:val="clear" w:color="auto" w:fill="BFBFBF" w:themeFill="background1" w:themeFillShade="BF"/>
            <w:vAlign w:val="center"/>
          </w:tcPr>
          <w:p w14:paraId="198EF3FB" w14:textId="77777777" w:rsidR="00B82B11" w:rsidRPr="00C872F7" w:rsidRDefault="00B82B11" w:rsidP="00C31BDA">
            <w:pPr>
              <w:snapToGrid w:val="0"/>
              <w:spacing w:before="60" w:after="60" w:line="240" w:lineRule="auto"/>
              <w:ind w:left="57" w:right="57"/>
              <w:jc w:val="center"/>
              <w:rPr>
                <w:rFonts w:ascii="Calibri" w:hAnsi="Calibri"/>
                <w:b/>
                <w:bCs/>
                <w:sz w:val="18"/>
                <w:szCs w:val="18"/>
              </w:rPr>
            </w:pPr>
            <w:r w:rsidRPr="00C872F7">
              <w:rPr>
                <w:rFonts w:ascii="Calibri" w:hAnsi="Calibri"/>
                <w:b/>
                <w:bCs/>
                <w:sz w:val="18"/>
                <w:szCs w:val="18"/>
              </w:rPr>
              <w:t>Ore di lavoro</w:t>
            </w:r>
          </w:p>
        </w:tc>
        <w:tc>
          <w:tcPr>
            <w:tcW w:w="1701" w:type="dxa"/>
            <w:shd w:val="clear" w:color="auto" w:fill="BFBFBF" w:themeFill="background1" w:themeFillShade="BF"/>
            <w:vAlign w:val="center"/>
          </w:tcPr>
          <w:p w14:paraId="1C329544" w14:textId="77777777" w:rsidR="00B82B11" w:rsidRPr="00C872F7" w:rsidRDefault="00B82B11" w:rsidP="00C31BDA">
            <w:pPr>
              <w:snapToGrid w:val="0"/>
              <w:spacing w:before="60" w:after="60" w:line="240" w:lineRule="auto"/>
              <w:ind w:left="57" w:right="57"/>
              <w:jc w:val="center"/>
              <w:rPr>
                <w:rFonts w:ascii="Calibri" w:hAnsi="Calibri"/>
                <w:b/>
                <w:bCs/>
                <w:sz w:val="18"/>
                <w:szCs w:val="18"/>
              </w:rPr>
            </w:pPr>
            <w:r w:rsidRPr="00C872F7">
              <w:rPr>
                <w:rFonts w:ascii="Calibri" w:hAnsi="Calibri"/>
                <w:b/>
                <w:bCs/>
                <w:sz w:val="18"/>
                <w:szCs w:val="18"/>
              </w:rPr>
              <w:t>N. Dipendenti</w:t>
            </w:r>
          </w:p>
        </w:tc>
      </w:tr>
      <w:tr w:rsidR="00B82B11" w:rsidRPr="005368CA" w14:paraId="4E2C32DD" w14:textId="77777777" w:rsidTr="00C31BDA">
        <w:trPr>
          <w:trHeight w:val="264"/>
          <w:jc w:val="center"/>
        </w:trPr>
        <w:tc>
          <w:tcPr>
            <w:tcW w:w="2081" w:type="dxa"/>
            <w:shd w:val="clear" w:color="auto" w:fill="F2F2F2" w:themeFill="background1" w:themeFillShade="F2"/>
            <w:vAlign w:val="center"/>
          </w:tcPr>
          <w:p w14:paraId="7ECF290F" w14:textId="77777777" w:rsidR="00B82B11" w:rsidRPr="009107BA" w:rsidRDefault="00B82B11" w:rsidP="00C31BDA">
            <w:pPr>
              <w:snapToGrid w:val="0"/>
              <w:spacing w:before="60" w:after="60" w:line="240" w:lineRule="auto"/>
              <w:ind w:left="57" w:right="57"/>
              <w:jc w:val="center"/>
              <w:rPr>
                <w:rFonts w:ascii="Calibri" w:hAnsi="Calibri"/>
                <w:bCs/>
                <w:sz w:val="18"/>
                <w:szCs w:val="18"/>
              </w:rPr>
            </w:pPr>
            <w:r w:rsidRPr="009107BA">
              <w:rPr>
                <w:rFonts w:ascii="Calibri" w:hAnsi="Calibri"/>
                <w:bCs/>
                <w:sz w:val="18"/>
                <w:szCs w:val="18"/>
              </w:rPr>
              <w:t>20 ore (52,63%)</w:t>
            </w:r>
          </w:p>
        </w:tc>
        <w:tc>
          <w:tcPr>
            <w:tcW w:w="1701" w:type="dxa"/>
            <w:shd w:val="clear" w:color="auto" w:fill="F2F2F2" w:themeFill="background1" w:themeFillShade="F2"/>
            <w:vAlign w:val="center"/>
          </w:tcPr>
          <w:p w14:paraId="6C673369" w14:textId="77777777" w:rsidR="00B82B11" w:rsidRPr="009107BA" w:rsidRDefault="00B82B11" w:rsidP="00C31BDA">
            <w:pPr>
              <w:snapToGrid w:val="0"/>
              <w:spacing w:before="60" w:after="60" w:line="240" w:lineRule="auto"/>
              <w:ind w:left="57" w:right="57"/>
              <w:jc w:val="center"/>
              <w:rPr>
                <w:rFonts w:ascii="Calibri" w:hAnsi="Calibri"/>
                <w:sz w:val="18"/>
                <w:szCs w:val="18"/>
              </w:rPr>
            </w:pPr>
            <w:r w:rsidRPr="009107BA">
              <w:rPr>
                <w:rFonts w:ascii="Calibri" w:hAnsi="Calibri"/>
                <w:sz w:val="18"/>
                <w:szCs w:val="18"/>
              </w:rPr>
              <w:t>1</w:t>
            </w:r>
          </w:p>
        </w:tc>
      </w:tr>
      <w:tr w:rsidR="00B82B11" w:rsidRPr="005368CA" w14:paraId="38B4919F" w14:textId="77777777" w:rsidTr="00C31BDA">
        <w:trPr>
          <w:trHeight w:val="284"/>
          <w:jc w:val="center"/>
        </w:trPr>
        <w:tc>
          <w:tcPr>
            <w:tcW w:w="2081" w:type="dxa"/>
            <w:shd w:val="clear" w:color="auto" w:fill="F2F2F2" w:themeFill="background1" w:themeFillShade="F2"/>
            <w:vAlign w:val="center"/>
          </w:tcPr>
          <w:p w14:paraId="10A81B89" w14:textId="77777777" w:rsidR="00B82B11" w:rsidRPr="009107BA" w:rsidRDefault="00B82B11" w:rsidP="00C31BDA">
            <w:pPr>
              <w:snapToGrid w:val="0"/>
              <w:spacing w:before="60" w:after="60" w:line="240" w:lineRule="auto"/>
              <w:ind w:left="57" w:right="57"/>
              <w:jc w:val="center"/>
              <w:rPr>
                <w:rFonts w:ascii="Calibri" w:hAnsi="Calibri"/>
                <w:bCs/>
                <w:sz w:val="18"/>
                <w:szCs w:val="18"/>
              </w:rPr>
            </w:pPr>
            <w:r w:rsidRPr="009107BA">
              <w:rPr>
                <w:rFonts w:ascii="Calibri" w:hAnsi="Calibri"/>
                <w:bCs/>
                <w:sz w:val="18"/>
                <w:szCs w:val="18"/>
              </w:rPr>
              <w:t>24 ore (63,16%)</w:t>
            </w:r>
          </w:p>
        </w:tc>
        <w:tc>
          <w:tcPr>
            <w:tcW w:w="1701" w:type="dxa"/>
            <w:shd w:val="clear" w:color="auto" w:fill="F2F2F2" w:themeFill="background1" w:themeFillShade="F2"/>
            <w:vAlign w:val="center"/>
          </w:tcPr>
          <w:p w14:paraId="1C3502AE" w14:textId="77777777" w:rsidR="00B82B11" w:rsidRPr="009107BA" w:rsidRDefault="00B82B11" w:rsidP="00C31BDA">
            <w:pPr>
              <w:snapToGrid w:val="0"/>
              <w:spacing w:before="60" w:after="60" w:line="240" w:lineRule="auto"/>
              <w:ind w:left="57" w:right="57"/>
              <w:jc w:val="center"/>
              <w:rPr>
                <w:rFonts w:ascii="Calibri" w:hAnsi="Calibri"/>
                <w:sz w:val="18"/>
                <w:szCs w:val="18"/>
              </w:rPr>
            </w:pPr>
            <w:r w:rsidRPr="009107BA">
              <w:rPr>
                <w:rFonts w:ascii="Calibri" w:hAnsi="Calibri"/>
                <w:sz w:val="18"/>
                <w:szCs w:val="18"/>
              </w:rPr>
              <w:t>2</w:t>
            </w:r>
          </w:p>
        </w:tc>
      </w:tr>
      <w:tr w:rsidR="00B82B11" w:rsidRPr="005368CA" w14:paraId="30AC0CDE" w14:textId="77777777" w:rsidTr="00C31BDA">
        <w:trPr>
          <w:trHeight w:val="284"/>
          <w:jc w:val="center"/>
        </w:trPr>
        <w:tc>
          <w:tcPr>
            <w:tcW w:w="2081" w:type="dxa"/>
            <w:shd w:val="clear" w:color="auto" w:fill="F2F2F2" w:themeFill="background1" w:themeFillShade="F2"/>
            <w:vAlign w:val="center"/>
          </w:tcPr>
          <w:p w14:paraId="02435463" w14:textId="77777777" w:rsidR="00B82B11" w:rsidRPr="009107BA" w:rsidRDefault="00B82B11" w:rsidP="00C31BDA">
            <w:pPr>
              <w:snapToGrid w:val="0"/>
              <w:spacing w:before="60" w:after="60" w:line="240" w:lineRule="auto"/>
              <w:ind w:left="57" w:right="57"/>
              <w:jc w:val="center"/>
              <w:rPr>
                <w:rFonts w:ascii="Calibri" w:hAnsi="Calibri"/>
                <w:bCs/>
                <w:sz w:val="18"/>
                <w:szCs w:val="18"/>
              </w:rPr>
            </w:pPr>
            <w:r w:rsidRPr="009107BA">
              <w:rPr>
                <w:rFonts w:ascii="Calibri" w:hAnsi="Calibri"/>
                <w:bCs/>
                <w:sz w:val="18"/>
                <w:szCs w:val="18"/>
              </w:rPr>
              <w:t>25 ore (65,79%)</w:t>
            </w:r>
          </w:p>
        </w:tc>
        <w:tc>
          <w:tcPr>
            <w:tcW w:w="1701" w:type="dxa"/>
            <w:shd w:val="clear" w:color="auto" w:fill="F2F2F2" w:themeFill="background1" w:themeFillShade="F2"/>
            <w:vAlign w:val="center"/>
          </w:tcPr>
          <w:p w14:paraId="6C090259" w14:textId="77777777" w:rsidR="00B82B11" w:rsidRPr="009107BA" w:rsidRDefault="00B82B11" w:rsidP="00C31BDA">
            <w:pPr>
              <w:snapToGrid w:val="0"/>
              <w:spacing w:before="60" w:after="60" w:line="240" w:lineRule="auto"/>
              <w:ind w:left="57" w:right="57"/>
              <w:jc w:val="center"/>
              <w:rPr>
                <w:rFonts w:ascii="Calibri" w:hAnsi="Calibri"/>
                <w:sz w:val="18"/>
                <w:szCs w:val="18"/>
              </w:rPr>
            </w:pPr>
            <w:r w:rsidRPr="009107BA">
              <w:rPr>
                <w:rFonts w:ascii="Calibri" w:hAnsi="Calibri"/>
                <w:sz w:val="18"/>
                <w:szCs w:val="18"/>
              </w:rPr>
              <w:t>1</w:t>
            </w:r>
          </w:p>
        </w:tc>
      </w:tr>
      <w:tr w:rsidR="00B82B11" w:rsidRPr="005368CA" w14:paraId="4E7BA2AA" w14:textId="77777777" w:rsidTr="00C31BDA">
        <w:trPr>
          <w:trHeight w:val="284"/>
          <w:jc w:val="center"/>
        </w:trPr>
        <w:tc>
          <w:tcPr>
            <w:tcW w:w="2081" w:type="dxa"/>
            <w:shd w:val="clear" w:color="auto" w:fill="F2F2F2" w:themeFill="background1" w:themeFillShade="F2"/>
            <w:vAlign w:val="center"/>
          </w:tcPr>
          <w:p w14:paraId="537666DB" w14:textId="77777777" w:rsidR="00B82B11" w:rsidRPr="009107BA" w:rsidRDefault="00B82B11" w:rsidP="00C31BDA">
            <w:pPr>
              <w:snapToGrid w:val="0"/>
              <w:spacing w:before="60" w:after="60" w:line="240" w:lineRule="auto"/>
              <w:ind w:left="57" w:right="57"/>
              <w:jc w:val="center"/>
              <w:rPr>
                <w:rFonts w:ascii="Calibri" w:hAnsi="Calibri"/>
                <w:bCs/>
                <w:sz w:val="18"/>
                <w:szCs w:val="18"/>
              </w:rPr>
            </w:pPr>
            <w:r w:rsidRPr="009107BA">
              <w:rPr>
                <w:rFonts w:ascii="Calibri" w:hAnsi="Calibri"/>
                <w:bCs/>
                <w:sz w:val="18"/>
                <w:szCs w:val="18"/>
              </w:rPr>
              <w:t>27,5 ore (72,37%)</w:t>
            </w:r>
          </w:p>
        </w:tc>
        <w:tc>
          <w:tcPr>
            <w:tcW w:w="1701" w:type="dxa"/>
            <w:shd w:val="clear" w:color="auto" w:fill="F2F2F2" w:themeFill="background1" w:themeFillShade="F2"/>
            <w:vAlign w:val="center"/>
          </w:tcPr>
          <w:p w14:paraId="0054C0F8" w14:textId="77777777" w:rsidR="00B82B11" w:rsidRPr="009107BA" w:rsidRDefault="00B82B11" w:rsidP="00C31BDA">
            <w:pPr>
              <w:snapToGrid w:val="0"/>
              <w:spacing w:before="60" w:after="60" w:line="240" w:lineRule="auto"/>
              <w:ind w:left="57" w:right="57"/>
              <w:jc w:val="center"/>
              <w:rPr>
                <w:rFonts w:ascii="Calibri" w:hAnsi="Calibri"/>
                <w:sz w:val="18"/>
                <w:szCs w:val="18"/>
              </w:rPr>
            </w:pPr>
            <w:r w:rsidRPr="009107BA">
              <w:rPr>
                <w:rFonts w:ascii="Calibri" w:hAnsi="Calibri"/>
                <w:sz w:val="18"/>
                <w:szCs w:val="18"/>
              </w:rPr>
              <w:t>1</w:t>
            </w:r>
          </w:p>
        </w:tc>
      </w:tr>
      <w:tr w:rsidR="00B82B11" w:rsidRPr="005368CA" w14:paraId="0B74947D" w14:textId="77777777" w:rsidTr="00C31BDA">
        <w:trPr>
          <w:trHeight w:val="284"/>
          <w:jc w:val="center"/>
        </w:trPr>
        <w:tc>
          <w:tcPr>
            <w:tcW w:w="2081" w:type="dxa"/>
            <w:shd w:val="clear" w:color="auto" w:fill="F2F2F2" w:themeFill="background1" w:themeFillShade="F2"/>
            <w:vAlign w:val="center"/>
          </w:tcPr>
          <w:p w14:paraId="781C32EA" w14:textId="77777777" w:rsidR="00B82B11" w:rsidRPr="009107BA" w:rsidRDefault="00B82B11" w:rsidP="00C31BDA">
            <w:pPr>
              <w:snapToGrid w:val="0"/>
              <w:spacing w:before="60" w:after="60" w:line="240" w:lineRule="auto"/>
              <w:ind w:left="57" w:right="57"/>
              <w:jc w:val="center"/>
              <w:rPr>
                <w:rFonts w:ascii="Calibri" w:hAnsi="Calibri"/>
                <w:bCs/>
                <w:sz w:val="18"/>
                <w:szCs w:val="18"/>
              </w:rPr>
            </w:pPr>
            <w:r w:rsidRPr="009107BA">
              <w:rPr>
                <w:rFonts w:ascii="Calibri" w:hAnsi="Calibri"/>
                <w:bCs/>
                <w:sz w:val="18"/>
                <w:szCs w:val="18"/>
              </w:rPr>
              <w:t>30 ore (78,95%)</w:t>
            </w:r>
          </w:p>
        </w:tc>
        <w:tc>
          <w:tcPr>
            <w:tcW w:w="1701" w:type="dxa"/>
            <w:shd w:val="clear" w:color="auto" w:fill="F2F2F2" w:themeFill="background1" w:themeFillShade="F2"/>
            <w:vAlign w:val="center"/>
          </w:tcPr>
          <w:p w14:paraId="6CDA3D75" w14:textId="77777777" w:rsidR="00B82B11" w:rsidRPr="009107BA" w:rsidRDefault="00B82B11" w:rsidP="00C31BDA">
            <w:pPr>
              <w:snapToGrid w:val="0"/>
              <w:spacing w:before="60" w:after="60" w:line="240" w:lineRule="auto"/>
              <w:ind w:left="57" w:right="57"/>
              <w:jc w:val="center"/>
              <w:rPr>
                <w:rFonts w:ascii="Calibri" w:hAnsi="Calibri"/>
                <w:sz w:val="18"/>
                <w:szCs w:val="18"/>
              </w:rPr>
            </w:pPr>
            <w:r w:rsidRPr="009107BA">
              <w:rPr>
                <w:rFonts w:ascii="Calibri" w:hAnsi="Calibri"/>
                <w:sz w:val="18"/>
                <w:szCs w:val="18"/>
              </w:rPr>
              <w:t>4</w:t>
            </w:r>
          </w:p>
        </w:tc>
      </w:tr>
      <w:tr w:rsidR="00B82B11" w:rsidRPr="005368CA" w14:paraId="167D56F3" w14:textId="77777777" w:rsidTr="00C31BDA">
        <w:trPr>
          <w:trHeight w:val="284"/>
          <w:jc w:val="center"/>
        </w:trPr>
        <w:tc>
          <w:tcPr>
            <w:tcW w:w="2081" w:type="dxa"/>
            <w:shd w:val="clear" w:color="auto" w:fill="F2F2F2" w:themeFill="background1" w:themeFillShade="F2"/>
            <w:vAlign w:val="center"/>
          </w:tcPr>
          <w:p w14:paraId="127130F1" w14:textId="77777777" w:rsidR="00B82B11" w:rsidRPr="009107BA" w:rsidRDefault="00B82B11" w:rsidP="00C31BDA">
            <w:pPr>
              <w:snapToGrid w:val="0"/>
              <w:spacing w:before="60" w:after="60" w:line="240" w:lineRule="auto"/>
              <w:ind w:left="57" w:right="57"/>
              <w:jc w:val="center"/>
              <w:rPr>
                <w:rFonts w:ascii="Calibri" w:hAnsi="Calibri"/>
                <w:bCs/>
                <w:sz w:val="18"/>
                <w:szCs w:val="18"/>
              </w:rPr>
            </w:pPr>
            <w:r w:rsidRPr="009107BA">
              <w:rPr>
                <w:rFonts w:ascii="Calibri" w:hAnsi="Calibri"/>
                <w:bCs/>
                <w:sz w:val="18"/>
                <w:szCs w:val="18"/>
              </w:rPr>
              <w:t>32 ore (84,21%)</w:t>
            </w:r>
          </w:p>
        </w:tc>
        <w:tc>
          <w:tcPr>
            <w:tcW w:w="1701" w:type="dxa"/>
            <w:shd w:val="clear" w:color="auto" w:fill="F2F2F2" w:themeFill="background1" w:themeFillShade="F2"/>
            <w:vAlign w:val="center"/>
          </w:tcPr>
          <w:p w14:paraId="1B6F4380" w14:textId="77777777" w:rsidR="00B82B11" w:rsidRPr="009107BA" w:rsidRDefault="00B82B11" w:rsidP="00C31BDA">
            <w:pPr>
              <w:snapToGrid w:val="0"/>
              <w:spacing w:before="60" w:after="60" w:line="240" w:lineRule="auto"/>
              <w:ind w:left="57" w:right="57"/>
              <w:jc w:val="center"/>
              <w:rPr>
                <w:rFonts w:ascii="Calibri" w:hAnsi="Calibri"/>
                <w:sz w:val="18"/>
                <w:szCs w:val="18"/>
              </w:rPr>
            </w:pPr>
            <w:r w:rsidRPr="009107BA">
              <w:rPr>
                <w:rFonts w:ascii="Calibri" w:hAnsi="Calibri"/>
                <w:sz w:val="18"/>
                <w:szCs w:val="18"/>
              </w:rPr>
              <w:t>2</w:t>
            </w:r>
          </w:p>
        </w:tc>
      </w:tr>
      <w:tr w:rsidR="00B82B11" w:rsidRPr="005368CA" w14:paraId="706DF996" w14:textId="77777777" w:rsidTr="00C31BDA">
        <w:trPr>
          <w:trHeight w:val="284"/>
          <w:jc w:val="center"/>
        </w:trPr>
        <w:tc>
          <w:tcPr>
            <w:tcW w:w="2081" w:type="dxa"/>
            <w:shd w:val="clear" w:color="auto" w:fill="F2F2F2" w:themeFill="background1" w:themeFillShade="F2"/>
            <w:vAlign w:val="center"/>
          </w:tcPr>
          <w:p w14:paraId="617D6CC3" w14:textId="77777777" w:rsidR="00B82B11" w:rsidRPr="009107BA" w:rsidRDefault="00B82B11" w:rsidP="00C31BDA">
            <w:pPr>
              <w:snapToGrid w:val="0"/>
              <w:spacing w:before="60" w:after="60" w:line="240" w:lineRule="auto"/>
              <w:ind w:left="57" w:right="57"/>
              <w:jc w:val="center"/>
              <w:rPr>
                <w:rFonts w:ascii="Calibri" w:hAnsi="Calibri"/>
                <w:bCs/>
                <w:sz w:val="18"/>
                <w:szCs w:val="18"/>
              </w:rPr>
            </w:pPr>
            <w:r w:rsidRPr="009107BA">
              <w:rPr>
                <w:rFonts w:ascii="Calibri" w:hAnsi="Calibri"/>
                <w:bCs/>
                <w:sz w:val="18"/>
                <w:szCs w:val="18"/>
              </w:rPr>
              <w:t>33,5 ore (88,16%)</w:t>
            </w:r>
          </w:p>
        </w:tc>
        <w:tc>
          <w:tcPr>
            <w:tcW w:w="1701" w:type="dxa"/>
            <w:shd w:val="clear" w:color="auto" w:fill="F2F2F2" w:themeFill="background1" w:themeFillShade="F2"/>
            <w:vAlign w:val="center"/>
          </w:tcPr>
          <w:p w14:paraId="23C24F6E" w14:textId="77777777" w:rsidR="00B82B11" w:rsidRPr="009107BA" w:rsidRDefault="00B82B11" w:rsidP="00C31BDA">
            <w:pPr>
              <w:snapToGrid w:val="0"/>
              <w:spacing w:before="60" w:after="60" w:line="240" w:lineRule="auto"/>
              <w:ind w:left="57" w:right="57"/>
              <w:jc w:val="center"/>
              <w:rPr>
                <w:rFonts w:ascii="Calibri" w:hAnsi="Calibri"/>
                <w:bCs/>
                <w:sz w:val="18"/>
                <w:szCs w:val="18"/>
              </w:rPr>
            </w:pPr>
            <w:r w:rsidRPr="009107BA">
              <w:rPr>
                <w:rFonts w:ascii="Calibri" w:hAnsi="Calibri"/>
                <w:bCs/>
                <w:sz w:val="18"/>
                <w:szCs w:val="18"/>
              </w:rPr>
              <w:t>1</w:t>
            </w:r>
          </w:p>
        </w:tc>
      </w:tr>
      <w:tr w:rsidR="00B82B11" w:rsidRPr="005368CA" w14:paraId="3EA9D650" w14:textId="77777777" w:rsidTr="00C31BDA">
        <w:trPr>
          <w:trHeight w:val="284"/>
          <w:jc w:val="center"/>
        </w:trPr>
        <w:tc>
          <w:tcPr>
            <w:tcW w:w="2081" w:type="dxa"/>
            <w:shd w:val="clear" w:color="auto" w:fill="F2F2F2" w:themeFill="background1" w:themeFillShade="F2"/>
            <w:vAlign w:val="center"/>
          </w:tcPr>
          <w:p w14:paraId="460CEC66" w14:textId="77777777" w:rsidR="00B82B11" w:rsidRPr="009107BA" w:rsidRDefault="00B82B11" w:rsidP="00C31BDA">
            <w:pPr>
              <w:snapToGrid w:val="0"/>
              <w:spacing w:before="60" w:after="60" w:line="240" w:lineRule="auto"/>
              <w:ind w:left="57" w:right="57"/>
              <w:jc w:val="center"/>
              <w:rPr>
                <w:rFonts w:ascii="Calibri" w:hAnsi="Calibri"/>
                <w:bCs/>
                <w:sz w:val="18"/>
                <w:szCs w:val="18"/>
              </w:rPr>
            </w:pPr>
            <w:r w:rsidRPr="009107BA">
              <w:rPr>
                <w:rFonts w:ascii="Calibri" w:hAnsi="Calibri"/>
                <w:bCs/>
                <w:sz w:val="18"/>
                <w:szCs w:val="18"/>
              </w:rPr>
              <w:t>34 ore (89,47%)</w:t>
            </w:r>
          </w:p>
        </w:tc>
        <w:tc>
          <w:tcPr>
            <w:tcW w:w="1701" w:type="dxa"/>
            <w:shd w:val="clear" w:color="auto" w:fill="F2F2F2" w:themeFill="background1" w:themeFillShade="F2"/>
            <w:vAlign w:val="center"/>
          </w:tcPr>
          <w:p w14:paraId="78D5D719" w14:textId="77777777" w:rsidR="00B82B11" w:rsidRPr="009107BA" w:rsidRDefault="00B82B11" w:rsidP="00C31BDA">
            <w:pPr>
              <w:snapToGrid w:val="0"/>
              <w:spacing w:before="60" w:after="60" w:line="240" w:lineRule="auto"/>
              <w:ind w:left="57" w:right="57"/>
              <w:jc w:val="center"/>
              <w:rPr>
                <w:rFonts w:ascii="Calibri" w:hAnsi="Calibri"/>
                <w:bCs/>
                <w:sz w:val="18"/>
                <w:szCs w:val="18"/>
              </w:rPr>
            </w:pPr>
            <w:r w:rsidRPr="009107BA">
              <w:rPr>
                <w:rFonts w:ascii="Calibri" w:hAnsi="Calibri"/>
                <w:bCs/>
                <w:sz w:val="18"/>
                <w:szCs w:val="18"/>
              </w:rPr>
              <w:t>1</w:t>
            </w:r>
          </w:p>
        </w:tc>
      </w:tr>
      <w:tr w:rsidR="00B82B11" w:rsidRPr="005368CA" w14:paraId="45F2C010" w14:textId="77777777" w:rsidTr="00C31BDA">
        <w:trPr>
          <w:trHeight w:val="121"/>
          <w:jc w:val="center"/>
        </w:trPr>
        <w:tc>
          <w:tcPr>
            <w:tcW w:w="2081" w:type="dxa"/>
            <w:shd w:val="clear" w:color="auto" w:fill="F2F2F2" w:themeFill="background1" w:themeFillShade="F2"/>
            <w:vAlign w:val="center"/>
          </w:tcPr>
          <w:p w14:paraId="148F9B33" w14:textId="77777777" w:rsidR="00B82B11" w:rsidRPr="009107BA" w:rsidRDefault="00B82B11" w:rsidP="00C31BDA">
            <w:pPr>
              <w:snapToGrid w:val="0"/>
              <w:spacing w:before="60" w:after="60" w:line="240" w:lineRule="auto"/>
              <w:ind w:left="57" w:right="57"/>
              <w:jc w:val="center"/>
              <w:rPr>
                <w:rFonts w:ascii="Calibri" w:hAnsi="Calibri"/>
                <w:bCs/>
                <w:sz w:val="18"/>
                <w:szCs w:val="18"/>
              </w:rPr>
            </w:pPr>
            <w:r w:rsidRPr="009107BA">
              <w:rPr>
                <w:rFonts w:ascii="Calibri" w:hAnsi="Calibri"/>
                <w:bCs/>
                <w:sz w:val="18"/>
                <w:szCs w:val="18"/>
              </w:rPr>
              <w:t>35 ore (92,11%)</w:t>
            </w:r>
          </w:p>
        </w:tc>
        <w:tc>
          <w:tcPr>
            <w:tcW w:w="1701" w:type="dxa"/>
            <w:shd w:val="clear" w:color="auto" w:fill="F2F2F2" w:themeFill="background1" w:themeFillShade="F2"/>
            <w:vAlign w:val="center"/>
          </w:tcPr>
          <w:p w14:paraId="6441A8B9" w14:textId="77777777" w:rsidR="00B82B11" w:rsidRPr="009107BA" w:rsidRDefault="00B82B11" w:rsidP="00C31BDA">
            <w:pPr>
              <w:snapToGrid w:val="0"/>
              <w:spacing w:before="60" w:after="60" w:line="240" w:lineRule="auto"/>
              <w:ind w:left="57" w:right="57"/>
              <w:jc w:val="center"/>
              <w:rPr>
                <w:rFonts w:ascii="Calibri" w:hAnsi="Calibri"/>
                <w:bCs/>
                <w:sz w:val="18"/>
                <w:szCs w:val="18"/>
              </w:rPr>
            </w:pPr>
            <w:r w:rsidRPr="009107BA">
              <w:rPr>
                <w:rFonts w:ascii="Calibri" w:hAnsi="Calibri"/>
                <w:sz w:val="18"/>
                <w:szCs w:val="18"/>
              </w:rPr>
              <w:t>2</w:t>
            </w:r>
          </w:p>
        </w:tc>
      </w:tr>
    </w:tbl>
    <w:p w14:paraId="0CBEED26" w14:textId="77777777" w:rsidR="00B82B11" w:rsidRDefault="00B82B11" w:rsidP="00B82B11">
      <w:pPr>
        <w:jc w:val="both"/>
      </w:pPr>
      <w:r>
        <w:rPr>
          <w:noProof/>
          <w:lang w:eastAsia="it-IT"/>
        </w:rPr>
        <mc:AlternateContent>
          <mc:Choice Requires="wps">
            <w:drawing>
              <wp:anchor distT="0" distB="0" distL="114300" distR="114300" simplePos="0" relativeHeight="251700224" behindDoc="0" locked="0" layoutInCell="1" allowOverlap="1" wp14:anchorId="139C7B49" wp14:editId="75326700">
                <wp:simplePos x="0" y="0"/>
                <wp:positionH relativeFrom="column">
                  <wp:posOffset>0</wp:posOffset>
                </wp:positionH>
                <wp:positionV relativeFrom="paragraph">
                  <wp:posOffset>0</wp:posOffset>
                </wp:positionV>
                <wp:extent cx="6151880" cy="253365"/>
                <wp:effectExtent l="0" t="0" r="20320" b="13335"/>
                <wp:wrapNone/>
                <wp:docPr id="19" name="Casella di testo 19"/>
                <wp:cNvGraphicFramePr/>
                <a:graphic xmlns:a="http://schemas.openxmlformats.org/drawingml/2006/main">
                  <a:graphicData uri="http://schemas.microsoft.com/office/word/2010/wordprocessingShape">
                    <wps:wsp>
                      <wps:cNvSpPr txBox="1"/>
                      <wps:spPr>
                        <a:xfrm>
                          <a:off x="0" y="0"/>
                          <a:ext cx="6151880" cy="25336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09FAB19" w14:textId="3DC79897" w:rsidR="00B82B11" w:rsidRPr="00A549AF" w:rsidRDefault="00B82B11" w:rsidP="00B82B11">
                            <w:pPr>
                              <w:rPr>
                                <w:sz w:val="16"/>
                                <w:szCs w:val="16"/>
                              </w:rPr>
                            </w:pPr>
                            <w:r>
                              <w:rPr>
                                <w:sz w:val="16"/>
                                <w:szCs w:val="16"/>
                              </w:rPr>
                              <w:t xml:space="preserve">Tab. 5: dinamiche relative al personale con contratto a tempo parziale dell’Autorità di Sistema Portuale del Mar Adriatico Settentrionale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139C7B49" id="Casella di testo 19" o:spid="_x0000_s1029" type="#_x0000_t202" style="position:absolute;left:0;text-align:left;margin-left:0;margin-top:0;width:484.4pt;height:19.9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" fillcolor="white [3201]" strokeweight=".5pt">
                <v:textbox>
                  <w:txbxContent>
                    <w:p w14:paraId="409FAB19" w14:textId="3DC79897" w:rsidR="00B82B11" w:rsidRPr="00A549AF" w:rsidRDefault="00B82B11" w:rsidP="00B82B11">
                      <w:pPr>
                        <w:rPr>
                          <w:sz w:val="16"/>
                          <w:szCs w:val="16"/>
                        </w:rPr>
                      </w:pPr>
                      <w:r>
                        <w:rPr>
                          <w:sz w:val="16"/>
                          <w:szCs w:val="16"/>
                        </w:rPr>
                        <w:t xml:space="preserve">Tab. 5: dinamiche relative al personale con contratto a tempo parziale dell’Autorità di Sistema Portuale del Mar Adriatico Settentrionale </w:t>
                      </w:r>
                    </w:p>
                  </w:txbxContent>
                </v:textbox>
              </v:shape>
            </w:pict>
          </mc:Fallback>
        </mc:AlternateContent>
      </w:r>
    </w:p>
    <w:p w14:paraId="53E62ED6" w14:textId="77777777" w:rsidR="00B82B11" w:rsidRDefault="00B82B11" w:rsidP="00782261">
      <w:pPr>
        <w:jc w:val="both"/>
      </w:pPr>
    </w:p>
    <w:p w14:paraId="036FC51D" w14:textId="75E558B6" w:rsidR="00782261" w:rsidRDefault="00782261" w:rsidP="00782261">
      <w:pPr>
        <w:jc w:val="both"/>
      </w:pPr>
      <w:r>
        <w:t>Circa il trattamento economico e normativo del personale dipendente</w:t>
      </w:r>
      <w:r w:rsidR="00786640">
        <w:t xml:space="preserve"> si riporta quanto segue</w:t>
      </w:r>
      <w:r>
        <w:t xml:space="preserve">: </w:t>
      </w:r>
    </w:p>
    <w:p w14:paraId="0A475405" w14:textId="77777777" w:rsidR="00782261" w:rsidRDefault="00782261" w:rsidP="002D4276">
      <w:pPr>
        <w:pStyle w:val="Paragrafoelenco"/>
        <w:numPr>
          <w:ilvl w:val="0"/>
          <w:numId w:val="2"/>
        </w:numPr>
        <w:jc w:val="both"/>
      </w:pPr>
      <w:r>
        <w:t xml:space="preserve">Contratto di 1° livello - Il rapporto di lavoro, l’inquadramento professionale e il trattamento economico-normativo del personale dell’Ente è disciplinato, per i dirigenti, dal C.C.N.L. dei dirigenti delle Autorità di Sistema Portuale, che recepisce il CCNL dei dirigenti di aziende produttrici di beni e servizi, mentre per quanto riguarda quadri e impiegati, dal C.C.N.L. dei lavoratori dei porti, integrato dalla contrattazione collettiva di secondo livello. </w:t>
      </w:r>
    </w:p>
    <w:p w14:paraId="58B42B16" w14:textId="77777777" w:rsidR="00782261" w:rsidRDefault="00782261" w:rsidP="002D4276">
      <w:pPr>
        <w:pStyle w:val="Paragrafoelenco"/>
        <w:numPr>
          <w:ilvl w:val="0"/>
          <w:numId w:val="2"/>
        </w:numPr>
        <w:jc w:val="both"/>
      </w:pPr>
      <w:r>
        <w:t xml:space="preserve">C.C.N.L. dei dirigenti delle Autorità di Sistema Portuale - Con delibera n. 8 del 24 settembre 2021 il Comitato di Gestione ha recepito l’accordo che in data 29 luglio 2021 è stato sottoscritto tra Assoporti e l’Organizzazione Sindacale di categoria Federmanager e regola il rapporto di lavoro dei dirigenti delle Autorità di Sistema Portuale. </w:t>
      </w:r>
    </w:p>
    <w:p w14:paraId="14B71DAD" w14:textId="77777777" w:rsidR="00782261" w:rsidRDefault="00782261" w:rsidP="00782261">
      <w:pPr>
        <w:pStyle w:val="Paragrafoelenco"/>
        <w:jc w:val="both"/>
      </w:pPr>
      <w:r>
        <w:t>L’accordo che ha scadenza il 31 dicembre 2023, recepisce il contratto collettivo nazionale di lavoro per i dirigenti di azienda produttrici di beni e servizi, firmato il 30 luglio 2019 tra Confindustria e Federmanager e stabilisce pattuizioni specifiche per i dirigenti dipendenti di AdSP.</w:t>
      </w:r>
    </w:p>
    <w:p w14:paraId="763C0FBB" w14:textId="77777777" w:rsidR="00782261" w:rsidRDefault="00782261" w:rsidP="00782261">
      <w:pPr>
        <w:pStyle w:val="Paragrafoelenco"/>
        <w:jc w:val="both"/>
      </w:pPr>
      <w:r>
        <w:t>Le parti stipulanti hanno convenuto di attivare sistemi retributivi incentivanti collegati al raggiungimento di obiettivi con conseguente introduzione di trattamenti economici aggiuntivi. I criteri e le modalità di attuazione saranno oggetto di consultazione con le RSA Federmanager.</w:t>
      </w:r>
    </w:p>
    <w:p w14:paraId="6139BA58" w14:textId="77777777" w:rsidR="00782261" w:rsidRDefault="00782261" w:rsidP="00782261">
      <w:pPr>
        <w:pStyle w:val="Paragrafoelenco"/>
        <w:jc w:val="both"/>
      </w:pPr>
      <w:r>
        <w:t>Al fine di promuovere l’aggiornamento culturale e professionale delle risorse dirigenziali, le parti hanno convenuto di riconoscere n. 5 giornate formative all’anno.</w:t>
      </w:r>
    </w:p>
    <w:p w14:paraId="0E01FCF4" w14:textId="77777777" w:rsidR="00782261" w:rsidRDefault="00782261" w:rsidP="00782261">
      <w:pPr>
        <w:pStyle w:val="Paragrafoelenco"/>
        <w:jc w:val="both"/>
      </w:pPr>
      <w:r>
        <w:t>E’ stato inoltre previsto in sostituzione a quanto previsto dall’art. 15 del contratto collettivo nazionale di lavoro per i dirigenti di azienda produttrici di beni e servizi, una specifica disciplina in materia di responsabilità civile e/o penale. Per quanto attiene la previdenza complementare è stato concordato, che a decorrere dal 1° gennaio 2021, le Autorità di Sistema Portuale si sono fatte carico della quota pari al 3% della contribuzione a carico del dirigente.</w:t>
      </w:r>
    </w:p>
    <w:p w14:paraId="4196C255" w14:textId="77777777" w:rsidR="00782261" w:rsidRDefault="00782261" w:rsidP="002D4276">
      <w:pPr>
        <w:pStyle w:val="Paragrafoelenco"/>
        <w:numPr>
          <w:ilvl w:val="0"/>
          <w:numId w:val="2"/>
        </w:numPr>
        <w:jc w:val="both"/>
      </w:pPr>
      <w:r>
        <w:t xml:space="preserve">C.C.N.L. dei lavoratori dei porti - Con delibera n. 5 del 20 maggio 2021 il Comitato di Gestione ha recepito l’accordo che in data 30 aprile 2021, è stato sottoscritto tra Assoporti, Assologistica, Assiterminal, Fise-Uniport e le Organizzazioni Sindacali di categoria FILT-CGIL, FIT-CISL e UILTRASPORTI, concernente il rinnovo del CCNL dei lavoratori dei porti, riguardante i dipendenti delle Autorità di Sistema Portuale con qualifica di quadro, impiegato e operaio.  </w:t>
      </w:r>
    </w:p>
    <w:p w14:paraId="28FE3F7A" w14:textId="77777777" w:rsidR="00782261" w:rsidRDefault="00782261" w:rsidP="00782261">
      <w:pPr>
        <w:pStyle w:val="Paragrafoelenco"/>
        <w:jc w:val="both"/>
      </w:pPr>
      <w:r>
        <w:t>Il CCNL dei lavoratori dei porti ha durata triennale dal 01/01/2021 al 31/12/2023 e sono state introdotte delle novità per la parte normativa nonché per la parte economica.</w:t>
      </w:r>
    </w:p>
    <w:p w14:paraId="2708D4A3" w14:textId="77777777" w:rsidR="00782261" w:rsidRDefault="00782261" w:rsidP="00782261">
      <w:pPr>
        <w:pStyle w:val="Paragrafoelenco"/>
        <w:jc w:val="both"/>
      </w:pPr>
      <w:r>
        <w:t>Le parti stipulanti hanno convenuto di definire un sistema di contribuzione in capo ai datori di lavoro finalizzato alla costituzione di un fondo di accompagnamento all’esodo, con versamento mensile di € 10,00 a decorrere dal 01/01/2022.</w:t>
      </w:r>
    </w:p>
    <w:p w14:paraId="0332E37E" w14:textId="77777777" w:rsidR="00782261" w:rsidRDefault="00782261" w:rsidP="00782261">
      <w:pPr>
        <w:pStyle w:val="Paragrafoelenco"/>
        <w:jc w:val="both"/>
      </w:pPr>
      <w:r>
        <w:t>Nell’ambito dell’art. 21 del CCNL “Trattamento di malattia e infortunio e infortunio non sul lavoro” viene modificato il meccanismo di confronto in caso di mancato accordo aziendale per quanto riguarda il riconoscimento della retribuzione accessoria.</w:t>
      </w:r>
    </w:p>
    <w:p w14:paraId="0F178A38" w14:textId="77777777" w:rsidR="00782261" w:rsidRDefault="00782261" w:rsidP="00782261">
      <w:pPr>
        <w:pStyle w:val="Paragrafoelenco"/>
        <w:jc w:val="both"/>
      </w:pPr>
      <w:r>
        <w:t>Per quanto riguarda la parte economica, si evidenziano le seguenti dinamiche:</w:t>
      </w:r>
    </w:p>
    <w:p w14:paraId="42526DD5" w14:textId="77777777" w:rsidR="00782261" w:rsidRDefault="00782261" w:rsidP="00782261">
      <w:pPr>
        <w:pStyle w:val="Paragrafoelenco"/>
        <w:jc w:val="both"/>
      </w:pPr>
    </w:p>
    <w:p w14:paraId="643E5A84" w14:textId="6C5A9CB3" w:rsidR="00C31BDA" w:rsidRDefault="00782261" w:rsidP="002D4276">
      <w:pPr>
        <w:pStyle w:val="Paragrafoelenco"/>
        <w:numPr>
          <w:ilvl w:val="1"/>
          <w:numId w:val="2"/>
        </w:numPr>
        <w:jc w:val="both"/>
      </w:pPr>
      <w:r>
        <w:t>Incremento mensile - A decorrere dal 01/10/2021 è stato riconosciuto un incremento mensile come rappresentato nella tabella di seguito riportata:</w:t>
      </w:r>
    </w:p>
    <w:p w14:paraId="6B3A69B9" w14:textId="77777777" w:rsidR="00C31BDA" w:rsidRDefault="00C31BDA">
      <w:r>
        <w:br w:type="page"/>
      </w:r>
    </w:p>
    <w:p w14:paraId="68B7C056" w14:textId="77777777" w:rsidR="00DD6597" w:rsidRDefault="00DD6597" w:rsidP="003045E8">
      <w:pPr>
        <w:pStyle w:val="Paragrafoelenco"/>
        <w:ind w:left="1440"/>
        <w:jc w:val="both"/>
      </w:pPr>
    </w:p>
    <w:tbl>
      <w:tblPr>
        <w:tblW w:w="793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27"/>
        <w:gridCol w:w="3011"/>
      </w:tblGrid>
      <w:tr w:rsidR="00782261" w:rsidRPr="005368CA" w14:paraId="5202BAC3" w14:textId="77777777" w:rsidTr="00C31BDA">
        <w:trPr>
          <w:trHeight w:val="400"/>
        </w:trPr>
        <w:tc>
          <w:tcPr>
            <w:tcW w:w="7938"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2AA9DFFD" w14:textId="77777777" w:rsidR="00782261" w:rsidRPr="00C872F7" w:rsidRDefault="00782261" w:rsidP="00C31BDA">
            <w:pPr>
              <w:spacing w:before="12" w:after="12"/>
              <w:jc w:val="center"/>
              <w:rPr>
                <w:rFonts w:ascii="Calibri" w:hAnsi="Calibri" w:cs="Calibri"/>
                <w:b/>
                <w:bCs/>
                <w:lang w:eastAsia="it-IT"/>
              </w:rPr>
            </w:pPr>
            <w:r w:rsidRPr="00C872F7">
              <w:rPr>
                <w:rFonts w:ascii="Calibri" w:hAnsi="Calibri" w:cs="Calibri"/>
                <w:b/>
                <w:bCs/>
                <w:lang w:eastAsia="it-IT"/>
              </w:rPr>
              <w:t>Aumenti min. contrattuale</w:t>
            </w:r>
          </w:p>
        </w:tc>
      </w:tr>
      <w:tr w:rsidR="00782261" w:rsidRPr="005368CA" w14:paraId="5C0EFCE8" w14:textId="77777777" w:rsidTr="00C31BDA">
        <w:trPr>
          <w:trHeight w:val="400"/>
        </w:trPr>
        <w:tc>
          <w:tcPr>
            <w:tcW w:w="4927"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4DC39A1D" w14:textId="77777777" w:rsidR="00782261" w:rsidRPr="005368CA" w:rsidRDefault="00782261" w:rsidP="00C31BDA">
            <w:pPr>
              <w:spacing w:before="12" w:after="12"/>
              <w:rPr>
                <w:rFonts w:ascii="Calibri" w:hAnsi="Calibri" w:cs="Calibri"/>
                <w:b/>
                <w:bCs/>
                <w:color w:val="2E74B5"/>
                <w:lang w:eastAsia="it-IT"/>
              </w:rPr>
            </w:pPr>
            <w:r w:rsidRPr="00C872F7">
              <w:rPr>
                <w:rFonts w:ascii="Calibri" w:hAnsi="Calibri" w:cs="Calibri"/>
                <w:b/>
                <w:bCs/>
                <w:lang w:eastAsia="it-IT"/>
              </w:rPr>
              <w:t>Qualifica</w:t>
            </w:r>
          </w:p>
        </w:tc>
        <w:tc>
          <w:tcPr>
            <w:tcW w:w="301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63FC2B1E" w14:textId="77777777" w:rsidR="00782261" w:rsidRPr="00C872F7" w:rsidRDefault="00782261" w:rsidP="00C31BDA">
            <w:pPr>
              <w:spacing w:before="12" w:after="12"/>
              <w:rPr>
                <w:rFonts w:ascii="Calibri" w:hAnsi="Calibri" w:cs="Calibri"/>
                <w:b/>
                <w:bCs/>
                <w:lang w:eastAsia="it-IT"/>
              </w:rPr>
            </w:pPr>
            <w:r w:rsidRPr="00C872F7">
              <w:rPr>
                <w:rFonts w:ascii="Calibri" w:hAnsi="Calibri" w:cs="Calibri"/>
                <w:b/>
                <w:bCs/>
                <w:lang w:eastAsia="it-IT"/>
              </w:rPr>
              <w:t>ott-21</w:t>
            </w:r>
          </w:p>
        </w:tc>
      </w:tr>
      <w:tr w:rsidR="00782261" w:rsidRPr="00C873E9" w14:paraId="445C5848" w14:textId="77777777" w:rsidTr="00C31BDA">
        <w:trPr>
          <w:trHeight w:val="400"/>
        </w:trPr>
        <w:tc>
          <w:tcPr>
            <w:tcW w:w="4927" w:type="dxa"/>
            <w:tcBorders>
              <w:top w:val="single" w:sz="4" w:space="0" w:color="auto"/>
              <w:left w:val="single" w:sz="4" w:space="0" w:color="auto"/>
              <w:bottom w:val="single" w:sz="4" w:space="0" w:color="auto"/>
              <w:right w:val="single" w:sz="4" w:space="0" w:color="auto"/>
            </w:tcBorders>
            <w:shd w:val="clear" w:color="auto" w:fill="E7E6E6"/>
            <w:noWrap/>
            <w:vAlign w:val="bottom"/>
            <w:hideMark/>
          </w:tcPr>
          <w:p w14:paraId="46093669" w14:textId="77777777" w:rsidR="00782261" w:rsidRPr="00C873E9" w:rsidRDefault="00782261" w:rsidP="00C31BDA">
            <w:pPr>
              <w:spacing w:before="12" w:after="12"/>
              <w:rPr>
                <w:rFonts w:ascii="Calibri" w:hAnsi="Calibri" w:cs="Calibri"/>
                <w:color w:val="000000"/>
                <w:lang w:eastAsia="it-IT"/>
              </w:rPr>
            </w:pPr>
            <w:r w:rsidRPr="00C873E9">
              <w:rPr>
                <w:rFonts w:ascii="Calibri" w:hAnsi="Calibri" w:cs="Calibri"/>
                <w:color w:val="000000"/>
                <w:lang w:eastAsia="it-IT"/>
              </w:rPr>
              <w:t>Quadri A</w:t>
            </w:r>
          </w:p>
        </w:tc>
        <w:tc>
          <w:tcPr>
            <w:tcW w:w="3011" w:type="dxa"/>
            <w:tcBorders>
              <w:top w:val="single" w:sz="4" w:space="0" w:color="auto"/>
              <w:left w:val="single" w:sz="4" w:space="0" w:color="auto"/>
              <w:bottom w:val="single" w:sz="4" w:space="0" w:color="auto"/>
              <w:right w:val="single" w:sz="4" w:space="0" w:color="auto"/>
            </w:tcBorders>
            <w:shd w:val="clear" w:color="auto" w:fill="E7E6E6"/>
            <w:noWrap/>
            <w:vAlign w:val="bottom"/>
            <w:hideMark/>
          </w:tcPr>
          <w:p w14:paraId="6A7923B9" w14:textId="77777777" w:rsidR="00782261" w:rsidRPr="00C873E9" w:rsidRDefault="00782261" w:rsidP="00C31BDA">
            <w:pPr>
              <w:spacing w:before="12" w:after="12"/>
              <w:rPr>
                <w:rFonts w:ascii="Calibri" w:hAnsi="Calibri" w:cs="Calibri"/>
                <w:color w:val="000000"/>
                <w:lang w:eastAsia="it-IT"/>
              </w:rPr>
            </w:pPr>
            <w:r w:rsidRPr="00C873E9">
              <w:rPr>
                <w:rFonts w:ascii="Calibri" w:hAnsi="Calibri" w:cs="Calibri"/>
                <w:color w:val="000000"/>
                <w:lang w:eastAsia="it-IT"/>
              </w:rPr>
              <w:t>44,57</w:t>
            </w:r>
          </w:p>
        </w:tc>
      </w:tr>
      <w:tr w:rsidR="00782261" w:rsidRPr="00C873E9" w14:paraId="505B945C" w14:textId="77777777" w:rsidTr="00C31BDA">
        <w:trPr>
          <w:trHeight w:val="400"/>
        </w:trPr>
        <w:tc>
          <w:tcPr>
            <w:tcW w:w="4927" w:type="dxa"/>
            <w:tcBorders>
              <w:top w:val="single" w:sz="4" w:space="0" w:color="auto"/>
              <w:left w:val="single" w:sz="4" w:space="0" w:color="auto"/>
              <w:bottom w:val="single" w:sz="4" w:space="0" w:color="auto"/>
              <w:right w:val="single" w:sz="4" w:space="0" w:color="auto"/>
            </w:tcBorders>
            <w:shd w:val="clear" w:color="auto" w:fill="E7E6E6"/>
            <w:noWrap/>
            <w:vAlign w:val="bottom"/>
            <w:hideMark/>
          </w:tcPr>
          <w:p w14:paraId="25B3A776" w14:textId="77777777" w:rsidR="00782261" w:rsidRPr="00C873E9" w:rsidRDefault="00782261" w:rsidP="00C31BDA">
            <w:pPr>
              <w:spacing w:before="12" w:after="12"/>
              <w:rPr>
                <w:rFonts w:ascii="Calibri" w:hAnsi="Calibri" w:cs="Calibri"/>
                <w:color w:val="000000"/>
                <w:lang w:eastAsia="it-IT"/>
              </w:rPr>
            </w:pPr>
            <w:r w:rsidRPr="00C873E9">
              <w:rPr>
                <w:rFonts w:ascii="Calibri" w:hAnsi="Calibri" w:cs="Calibri"/>
                <w:color w:val="000000"/>
                <w:lang w:eastAsia="it-IT"/>
              </w:rPr>
              <w:t>Quadri B</w:t>
            </w:r>
          </w:p>
        </w:tc>
        <w:tc>
          <w:tcPr>
            <w:tcW w:w="3011" w:type="dxa"/>
            <w:tcBorders>
              <w:top w:val="single" w:sz="4" w:space="0" w:color="auto"/>
              <w:left w:val="single" w:sz="4" w:space="0" w:color="auto"/>
              <w:bottom w:val="single" w:sz="4" w:space="0" w:color="auto"/>
              <w:right w:val="single" w:sz="4" w:space="0" w:color="auto"/>
            </w:tcBorders>
            <w:shd w:val="clear" w:color="auto" w:fill="E7E6E6"/>
            <w:noWrap/>
            <w:vAlign w:val="bottom"/>
            <w:hideMark/>
          </w:tcPr>
          <w:p w14:paraId="782C2385" w14:textId="77777777" w:rsidR="00782261" w:rsidRPr="00C873E9" w:rsidRDefault="00782261" w:rsidP="00C31BDA">
            <w:pPr>
              <w:spacing w:before="12" w:after="12"/>
              <w:rPr>
                <w:rFonts w:ascii="Calibri" w:hAnsi="Calibri" w:cs="Calibri"/>
                <w:color w:val="000000"/>
                <w:lang w:eastAsia="it-IT"/>
              </w:rPr>
            </w:pPr>
            <w:r w:rsidRPr="00C873E9">
              <w:rPr>
                <w:rFonts w:ascii="Calibri" w:hAnsi="Calibri" w:cs="Calibri"/>
                <w:color w:val="000000"/>
                <w:lang w:eastAsia="it-IT"/>
              </w:rPr>
              <w:t>40,44</w:t>
            </w:r>
          </w:p>
        </w:tc>
      </w:tr>
      <w:tr w:rsidR="00782261" w:rsidRPr="00C873E9" w14:paraId="132F748C" w14:textId="77777777" w:rsidTr="00C31BDA">
        <w:trPr>
          <w:trHeight w:val="400"/>
        </w:trPr>
        <w:tc>
          <w:tcPr>
            <w:tcW w:w="4927" w:type="dxa"/>
            <w:tcBorders>
              <w:top w:val="single" w:sz="4" w:space="0" w:color="auto"/>
              <w:left w:val="single" w:sz="4" w:space="0" w:color="auto"/>
              <w:bottom w:val="single" w:sz="4" w:space="0" w:color="auto"/>
              <w:right w:val="single" w:sz="4" w:space="0" w:color="auto"/>
            </w:tcBorders>
            <w:shd w:val="clear" w:color="auto" w:fill="E7E6E6"/>
            <w:noWrap/>
            <w:vAlign w:val="bottom"/>
            <w:hideMark/>
          </w:tcPr>
          <w:p w14:paraId="64576EC0" w14:textId="77777777" w:rsidR="00782261" w:rsidRPr="00C873E9" w:rsidRDefault="00782261" w:rsidP="00C31BDA">
            <w:pPr>
              <w:spacing w:before="12" w:after="12"/>
              <w:rPr>
                <w:rFonts w:ascii="Calibri" w:hAnsi="Calibri" w:cs="Calibri"/>
                <w:color w:val="000000"/>
                <w:lang w:eastAsia="it-IT"/>
              </w:rPr>
            </w:pPr>
            <w:r w:rsidRPr="00C873E9">
              <w:rPr>
                <w:rFonts w:ascii="Calibri" w:hAnsi="Calibri" w:cs="Calibri"/>
                <w:color w:val="000000"/>
                <w:lang w:eastAsia="it-IT"/>
              </w:rPr>
              <w:t>Impiegati di 1° liv.</w:t>
            </w:r>
          </w:p>
        </w:tc>
        <w:tc>
          <w:tcPr>
            <w:tcW w:w="3011" w:type="dxa"/>
            <w:tcBorders>
              <w:top w:val="single" w:sz="4" w:space="0" w:color="auto"/>
              <w:left w:val="single" w:sz="4" w:space="0" w:color="auto"/>
              <w:bottom w:val="single" w:sz="4" w:space="0" w:color="auto"/>
              <w:right w:val="single" w:sz="4" w:space="0" w:color="auto"/>
            </w:tcBorders>
            <w:shd w:val="clear" w:color="auto" w:fill="E7E6E6"/>
            <w:noWrap/>
            <w:vAlign w:val="bottom"/>
            <w:hideMark/>
          </w:tcPr>
          <w:p w14:paraId="0940BA15" w14:textId="77777777" w:rsidR="00782261" w:rsidRPr="00C873E9" w:rsidRDefault="00782261" w:rsidP="00C31BDA">
            <w:pPr>
              <w:spacing w:before="12" w:after="12"/>
              <w:rPr>
                <w:rFonts w:ascii="Calibri" w:hAnsi="Calibri" w:cs="Calibri"/>
                <w:color w:val="000000"/>
                <w:lang w:eastAsia="it-IT"/>
              </w:rPr>
            </w:pPr>
            <w:r w:rsidRPr="00C873E9">
              <w:rPr>
                <w:rFonts w:ascii="Calibri" w:hAnsi="Calibri" w:cs="Calibri"/>
                <w:color w:val="000000"/>
                <w:lang w:eastAsia="it-IT"/>
              </w:rPr>
              <w:t>37,05</w:t>
            </w:r>
          </w:p>
        </w:tc>
      </w:tr>
      <w:tr w:rsidR="00782261" w:rsidRPr="00C873E9" w14:paraId="6C97E4AC" w14:textId="77777777" w:rsidTr="00C31BDA">
        <w:trPr>
          <w:trHeight w:val="400"/>
        </w:trPr>
        <w:tc>
          <w:tcPr>
            <w:tcW w:w="4927" w:type="dxa"/>
            <w:tcBorders>
              <w:top w:val="single" w:sz="4" w:space="0" w:color="auto"/>
              <w:left w:val="single" w:sz="4" w:space="0" w:color="auto"/>
              <w:bottom w:val="single" w:sz="4" w:space="0" w:color="auto"/>
              <w:right w:val="single" w:sz="4" w:space="0" w:color="auto"/>
            </w:tcBorders>
            <w:shd w:val="clear" w:color="auto" w:fill="E7E6E6"/>
            <w:noWrap/>
            <w:vAlign w:val="bottom"/>
            <w:hideMark/>
          </w:tcPr>
          <w:p w14:paraId="1E96EC30" w14:textId="77777777" w:rsidR="00782261" w:rsidRPr="00C873E9" w:rsidRDefault="00782261" w:rsidP="00C31BDA">
            <w:pPr>
              <w:spacing w:before="12" w:after="12"/>
              <w:rPr>
                <w:rFonts w:ascii="Calibri" w:hAnsi="Calibri" w:cs="Calibri"/>
                <w:color w:val="000000"/>
                <w:lang w:eastAsia="it-IT"/>
              </w:rPr>
            </w:pPr>
            <w:r w:rsidRPr="00C873E9">
              <w:rPr>
                <w:rFonts w:ascii="Calibri" w:hAnsi="Calibri" w:cs="Calibri"/>
                <w:color w:val="000000"/>
                <w:lang w:eastAsia="it-IT"/>
              </w:rPr>
              <w:t>Impiegati di 2° liv.</w:t>
            </w:r>
          </w:p>
        </w:tc>
        <w:tc>
          <w:tcPr>
            <w:tcW w:w="3011" w:type="dxa"/>
            <w:tcBorders>
              <w:top w:val="single" w:sz="4" w:space="0" w:color="auto"/>
              <w:left w:val="single" w:sz="4" w:space="0" w:color="auto"/>
              <w:bottom w:val="single" w:sz="4" w:space="0" w:color="auto"/>
              <w:right w:val="single" w:sz="4" w:space="0" w:color="auto"/>
            </w:tcBorders>
            <w:shd w:val="clear" w:color="auto" w:fill="E7E6E6"/>
            <w:noWrap/>
            <w:vAlign w:val="bottom"/>
            <w:hideMark/>
          </w:tcPr>
          <w:p w14:paraId="1EEFB24D" w14:textId="77777777" w:rsidR="00782261" w:rsidRPr="00C873E9" w:rsidRDefault="00782261" w:rsidP="00C31BDA">
            <w:pPr>
              <w:spacing w:before="12" w:after="12"/>
              <w:rPr>
                <w:rFonts w:ascii="Calibri" w:hAnsi="Calibri" w:cs="Calibri"/>
                <w:color w:val="000000"/>
                <w:lang w:eastAsia="it-IT"/>
              </w:rPr>
            </w:pPr>
            <w:r w:rsidRPr="00C873E9">
              <w:rPr>
                <w:rFonts w:ascii="Calibri" w:hAnsi="Calibri" w:cs="Calibri"/>
                <w:color w:val="000000"/>
                <w:lang w:eastAsia="it-IT"/>
              </w:rPr>
              <w:t>34,52</w:t>
            </w:r>
          </w:p>
        </w:tc>
      </w:tr>
      <w:tr w:rsidR="00782261" w:rsidRPr="00C873E9" w14:paraId="4FBAE137" w14:textId="77777777" w:rsidTr="00C31BDA">
        <w:trPr>
          <w:trHeight w:val="400"/>
        </w:trPr>
        <w:tc>
          <w:tcPr>
            <w:tcW w:w="4927" w:type="dxa"/>
            <w:tcBorders>
              <w:top w:val="single" w:sz="4" w:space="0" w:color="auto"/>
              <w:left w:val="single" w:sz="4" w:space="0" w:color="auto"/>
              <w:bottom w:val="single" w:sz="4" w:space="0" w:color="auto"/>
              <w:right w:val="single" w:sz="4" w:space="0" w:color="auto"/>
            </w:tcBorders>
            <w:shd w:val="clear" w:color="auto" w:fill="E7E6E6"/>
            <w:noWrap/>
            <w:vAlign w:val="bottom"/>
            <w:hideMark/>
          </w:tcPr>
          <w:p w14:paraId="1A2C9D3D" w14:textId="77777777" w:rsidR="00782261" w:rsidRPr="00C873E9" w:rsidRDefault="00782261" w:rsidP="00C31BDA">
            <w:pPr>
              <w:spacing w:before="12" w:after="12"/>
              <w:rPr>
                <w:rFonts w:ascii="Calibri" w:hAnsi="Calibri" w:cs="Calibri"/>
                <w:color w:val="000000"/>
                <w:lang w:eastAsia="it-IT"/>
              </w:rPr>
            </w:pPr>
            <w:r w:rsidRPr="00C873E9">
              <w:rPr>
                <w:rFonts w:ascii="Calibri" w:hAnsi="Calibri" w:cs="Calibri"/>
                <w:color w:val="000000"/>
                <w:lang w:eastAsia="it-IT"/>
              </w:rPr>
              <w:t>Impiegati di 3° liv.</w:t>
            </w:r>
          </w:p>
        </w:tc>
        <w:tc>
          <w:tcPr>
            <w:tcW w:w="3011" w:type="dxa"/>
            <w:tcBorders>
              <w:top w:val="single" w:sz="4" w:space="0" w:color="auto"/>
              <w:left w:val="single" w:sz="4" w:space="0" w:color="auto"/>
              <w:bottom w:val="single" w:sz="4" w:space="0" w:color="auto"/>
              <w:right w:val="single" w:sz="4" w:space="0" w:color="auto"/>
            </w:tcBorders>
            <w:shd w:val="clear" w:color="auto" w:fill="E7E6E6"/>
            <w:noWrap/>
            <w:vAlign w:val="bottom"/>
            <w:hideMark/>
          </w:tcPr>
          <w:p w14:paraId="3C98DF4A" w14:textId="77777777" w:rsidR="00782261" w:rsidRPr="00C873E9" w:rsidRDefault="00782261" w:rsidP="00C31BDA">
            <w:pPr>
              <w:spacing w:before="12" w:after="12"/>
              <w:rPr>
                <w:rFonts w:ascii="Calibri" w:hAnsi="Calibri" w:cs="Calibri"/>
                <w:color w:val="000000"/>
                <w:lang w:eastAsia="it-IT"/>
              </w:rPr>
            </w:pPr>
            <w:r w:rsidRPr="00C873E9">
              <w:rPr>
                <w:rFonts w:ascii="Calibri" w:hAnsi="Calibri" w:cs="Calibri"/>
                <w:color w:val="000000"/>
                <w:lang w:eastAsia="it-IT"/>
              </w:rPr>
              <w:t>31,93</w:t>
            </w:r>
          </w:p>
        </w:tc>
      </w:tr>
      <w:tr w:rsidR="00782261" w:rsidRPr="00C873E9" w14:paraId="52162421" w14:textId="77777777" w:rsidTr="00C31BDA">
        <w:trPr>
          <w:trHeight w:val="400"/>
        </w:trPr>
        <w:tc>
          <w:tcPr>
            <w:tcW w:w="4927" w:type="dxa"/>
            <w:tcBorders>
              <w:top w:val="single" w:sz="4" w:space="0" w:color="auto"/>
              <w:left w:val="single" w:sz="4" w:space="0" w:color="auto"/>
              <w:bottom w:val="single" w:sz="4" w:space="0" w:color="auto"/>
              <w:right w:val="single" w:sz="4" w:space="0" w:color="auto"/>
            </w:tcBorders>
            <w:shd w:val="clear" w:color="auto" w:fill="E7E6E6"/>
            <w:noWrap/>
            <w:vAlign w:val="bottom"/>
            <w:hideMark/>
          </w:tcPr>
          <w:p w14:paraId="4F5ED1D2" w14:textId="77777777" w:rsidR="00782261" w:rsidRPr="00C873E9" w:rsidRDefault="00782261" w:rsidP="00C31BDA">
            <w:pPr>
              <w:spacing w:before="12" w:after="12"/>
              <w:rPr>
                <w:rFonts w:ascii="Calibri" w:hAnsi="Calibri" w:cs="Calibri"/>
                <w:color w:val="000000"/>
                <w:lang w:eastAsia="it-IT"/>
              </w:rPr>
            </w:pPr>
            <w:r w:rsidRPr="00C873E9">
              <w:rPr>
                <w:rFonts w:ascii="Calibri" w:hAnsi="Calibri" w:cs="Calibri"/>
                <w:color w:val="000000"/>
                <w:lang w:eastAsia="it-IT"/>
              </w:rPr>
              <w:t>Impiegati di 4° liv.</w:t>
            </w:r>
          </w:p>
        </w:tc>
        <w:tc>
          <w:tcPr>
            <w:tcW w:w="3011" w:type="dxa"/>
            <w:tcBorders>
              <w:top w:val="single" w:sz="4" w:space="0" w:color="auto"/>
              <w:left w:val="single" w:sz="4" w:space="0" w:color="auto"/>
              <w:bottom w:val="single" w:sz="4" w:space="0" w:color="auto"/>
              <w:right w:val="single" w:sz="4" w:space="0" w:color="auto"/>
            </w:tcBorders>
            <w:shd w:val="clear" w:color="auto" w:fill="E7E6E6"/>
            <w:noWrap/>
            <w:vAlign w:val="bottom"/>
            <w:hideMark/>
          </w:tcPr>
          <w:p w14:paraId="03A45323" w14:textId="77777777" w:rsidR="00782261" w:rsidRPr="00C873E9" w:rsidRDefault="00782261" w:rsidP="00C31BDA">
            <w:pPr>
              <w:spacing w:before="12" w:after="12"/>
              <w:rPr>
                <w:rFonts w:ascii="Calibri" w:hAnsi="Calibri" w:cs="Calibri"/>
                <w:color w:val="000000"/>
                <w:lang w:eastAsia="it-IT"/>
              </w:rPr>
            </w:pPr>
            <w:r w:rsidRPr="00C873E9">
              <w:rPr>
                <w:rFonts w:ascii="Calibri" w:hAnsi="Calibri" w:cs="Calibri"/>
                <w:color w:val="000000"/>
                <w:lang w:eastAsia="it-IT"/>
              </w:rPr>
              <w:t>30</w:t>
            </w:r>
            <w:r>
              <w:rPr>
                <w:rFonts w:ascii="Calibri" w:hAnsi="Calibri" w:cs="Calibri"/>
                <w:color w:val="000000"/>
                <w:lang w:eastAsia="it-IT"/>
              </w:rPr>
              <w:t>,00</w:t>
            </w:r>
          </w:p>
        </w:tc>
      </w:tr>
      <w:tr w:rsidR="002A389C" w:rsidRPr="00C873E9" w14:paraId="4FB38B67" w14:textId="77777777" w:rsidTr="00C31BDA">
        <w:trPr>
          <w:trHeight w:val="308"/>
        </w:trPr>
        <w:tc>
          <w:tcPr>
            <w:tcW w:w="7938"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6CD2026A" w14:textId="002C274E" w:rsidR="002A389C" w:rsidRPr="002A389C" w:rsidRDefault="002A389C" w:rsidP="00C31BDA">
            <w:pPr>
              <w:spacing w:before="12" w:after="12"/>
              <w:rPr>
                <w:sz w:val="16"/>
                <w:szCs w:val="16"/>
              </w:rPr>
            </w:pPr>
            <w:r>
              <w:rPr>
                <w:sz w:val="16"/>
                <w:szCs w:val="16"/>
              </w:rPr>
              <w:t xml:space="preserve">Tab. </w:t>
            </w:r>
            <w:r w:rsidR="00B82B11">
              <w:rPr>
                <w:sz w:val="16"/>
                <w:szCs w:val="16"/>
              </w:rPr>
              <w:t>6</w:t>
            </w:r>
            <w:r>
              <w:rPr>
                <w:sz w:val="16"/>
                <w:szCs w:val="16"/>
              </w:rPr>
              <w:t>: Incremento retributivo mensile dei dipendenti dell’Autorità di Sistema Portuale del Mar Adriatico Settentrionale</w:t>
            </w:r>
          </w:p>
        </w:tc>
      </w:tr>
    </w:tbl>
    <w:p w14:paraId="3F2A6ABC" w14:textId="35D4B7CC" w:rsidR="00782261" w:rsidRDefault="00782261" w:rsidP="00782261">
      <w:pPr>
        <w:jc w:val="both"/>
      </w:pPr>
    </w:p>
    <w:p w14:paraId="50A9DBF4" w14:textId="77777777" w:rsidR="00782261" w:rsidRDefault="00782261" w:rsidP="002D4276">
      <w:pPr>
        <w:pStyle w:val="Paragrafoelenco"/>
        <w:numPr>
          <w:ilvl w:val="1"/>
          <w:numId w:val="2"/>
        </w:numPr>
        <w:jc w:val="both"/>
      </w:pPr>
      <w:r>
        <w:t xml:space="preserve">Una tantum - Ai lavoratori in servizio è stato riconosciuto un importo lordo onnicomprensivo una tantum, identico per tutti i livelli, di importo complessivo di € 100,00, corrisposto nel mese di maggio. Per i lavoratori che sono stati assunti e cessati nel corso dell’anno 2021, si è proceduto a corrispondere una tantum proporzionale al tempo lavorato. </w:t>
      </w:r>
    </w:p>
    <w:p w14:paraId="25B03A21" w14:textId="1A61EDE9" w:rsidR="00782261" w:rsidRDefault="00782261" w:rsidP="002D4276">
      <w:pPr>
        <w:pStyle w:val="Paragrafoelenco"/>
        <w:numPr>
          <w:ilvl w:val="1"/>
          <w:numId w:val="2"/>
        </w:numPr>
        <w:jc w:val="both"/>
      </w:pPr>
      <w:r>
        <w:t>Contratto aziendale - Durante l’anno 2021, è stato applicato l’accordo contrattuale siglato il 19/10/2018 e recepito dal Comitato di Gestione con delibera n. 8 del 29/10/2018, avente validità per l’anno 2018 che però non è stato disdetto da nessuna delle due parti che lo hanno sottoscritto.</w:t>
      </w:r>
    </w:p>
    <w:p w14:paraId="35277E0C" w14:textId="4EE58139" w:rsidR="00782261" w:rsidRDefault="00464E74" w:rsidP="00782261">
      <w:pPr>
        <w:jc w:val="both"/>
      </w:pPr>
      <w:r w:rsidRPr="00E653FF">
        <w:rPr>
          <w:noProof/>
          <w:lang w:eastAsia="it-IT"/>
        </w:rPr>
        <w:drawing>
          <wp:anchor distT="0" distB="0" distL="114300" distR="114300" simplePos="0" relativeHeight="251659264" behindDoc="0" locked="0" layoutInCell="1" allowOverlap="1" wp14:anchorId="1B0B40CF" wp14:editId="58E15E53">
            <wp:simplePos x="0" y="0"/>
            <wp:positionH relativeFrom="margin">
              <wp:align>right</wp:align>
            </wp:positionH>
            <wp:positionV relativeFrom="paragraph">
              <wp:posOffset>394335</wp:posOffset>
            </wp:positionV>
            <wp:extent cx="6085840" cy="3642360"/>
            <wp:effectExtent l="0" t="0" r="10160" b="15240"/>
            <wp:wrapSquare wrapText="bothSides"/>
            <wp:docPr id="3" name="Grafico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margin">
              <wp14:pctWidth>0</wp14:pctWidth>
            </wp14:sizeRelH>
            <wp14:sizeRelV relativeFrom="margin">
              <wp14:pctHeight>0</wp14:pctHeight>
            </wp14:sizeRelV>
          </wp:anchor>
        </w:drawing>
      </w:r>
      <w:r w:rsidR="001A171D" w:rsidRPr="001A171D">
        <w:t xml:space="preserve">Si riporta </w:t>
      </w:r>
      <w:r w:rsidR="001A171D">
        <w:t xml:space="preserve">infine </w:t>
      </w:r>
      <w:r w:rsidR="001A171D" w:rsidRPr="001A171D">
        <w:t>la suddivisione del costo del personale per capitoli di spesa</w:t>
      </w:r>
      <w:r w:rsidR="001A171D">
        <w:t xml:space="preserve"> nel grafico che segue</w:t>
      </w:r>
      <w:r w:rsidR="001A171D" w:rsidRPr="001A171D">
        <w:t>:</w:t>
      </w:r>
      <w:r w:rsidR="00786640" w:rsidRPr="00786640">
        <w:rPr>
          <w:noProof/>
          <w:lang w:eastAsia="it-IT"/>
        </w:rPr>
        <w:t xml:space="preserve"> </w:t>
      </w:r>
    </w:p>
    <w:p w14:paraId="782EBD6C" w14:textId="559B388E" w:rsidR="00782261" w:rsidRDefault="00464E74" w:rsidP="00782261">
      <w:pPr>
        <w:jc w:val="both"/>
      </w:pPr>
      <w:r>
        <w:rPr>
          <w:noProof/>
          <w:lang w:eastAsia="it-IT"/>
        </w:rPr>
        <mc:AlternateContent>
          <mc:Choice Requires="wps">
            <w:drawing>
              <wp:anchor distT="0" distB="0" distL="114300" distR="114300" simplePos="0" relativeHeight="251673600" behindDoc="0" locked="0" layoutInCell="1" allowOverlap="1" wp14:anchorId="757DF368" wp14:editId="3ED5790D">
                <wp:simplePos x="0" y="0"/>
                <wp:positionH relativeFrom="margin">
                  <wp:align>right</wp:align>
                </wp:positionH>
                <wp:positionV relativeFrom="paragraph">
                  <wp:posOffset>3774313</wp:posOffset>
                </wp:positionV>
                <wp:extent cx="6067219" cy="253706"/>
                <wp:effectExtent l="0" t="0" r="10160" b="13335"/>
                <wp:wrapNone/>
                <wp:docPr id="14" name="Casella di testo 14"/>
                <wp:cNvGraphicFramePr/>
                <a:graphic xmlns:a="http://schemas.openxmlformats.org/drawingml/2006/main">
                  <a:graphicData uri="http://schemas.microsoft.com/office/word/2010/wordprocessingShape">
                    <wps:wsp>
                      <wps:cNvSpPr txBox="1"/>
                      <wps:spPr>
                        <a:xfrm>
                          <a:off x="0" y="0"/>
                          <a:ext cx="6067219" cy="25370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5477642" w14:textId="5F6E7998" w:rsidR="00786640" w:rsidRPr="00A549AF" w:rsidRDefault="00786640" w:rsidP="00786640">
                            <w:pPr>
                              <w:rPr>
                                <w:sz w:val="16"/>
                                <w:szCs w:val="16"/>
                              </w:rPr>
                            </w:pPr>
                            <w:r>
                              <w:rPr>
                                <w:sz w:val="16"/>
                                <w:szCs w:val="16"/>
                              </w:rPr>
                              <w:t>Grafico 2: s</w:t>
                            </w:r>
                            <w:r w:rsidRPr="00786640">
                              <w:rPr>
                                <w:sz w:val="16"/>
                                <w:szCs w:val="16"/>
                              </w:rPr>
                              <w:t>uddivisione del costo del personale</w:t>
                            </w:r>
                            <w:r>
                              <w:rPr>
                                <w:sz w:val="16"/>
                                <w:szCs w:val="16"/>
                              </w:rPr>
                              <w:t xml:space="preserve"> dell’Autorità di Sistema Portuale del Mar Adriatico Settentrionale </w:t>
                            </w:r>
                            <w:r w:rsidRPr="00786640">
                              <w:rPr>
                                <w:sz w:val="16"/>
                                <w:szCs w:val="16"/>
                              </w:rPr>
                              <w:t>per capitoli di spesa</w:t>
                            </w:r>
                            <w:r>
                              <w:rPr>
                                <w:sz w:val="16"/>
                                <w:szCs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757DF368" id="Casella di testo 14" o:spid="_x0000_s1030" type="#_x0000_t202" style="position:absolute;left:0;text-align:left;margin-left:426.55pt;margin-top:297.2pt;width:477.75pt;height:20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" fillcolor="white [3201]" strokeweight=".5pt">
                <v:textbox>
                  <w:txbxContent>
                    <w:p w14:paraId="05477642" w14:textId="5F6E7998" w:rsidR="00786640" w:rsidRPr="00A549AF" w:rsidRDefault="00786640" w:rsidP="00786640">
                      <w:pPr>
                        <w:rPr>
                          <w:sz w:val="16"/>
                          <w:szCs w:val="16"/>
                        </w:rPr>
                      </w:pPr>
                      <w:r>
                        <w:rPr>
                          <w:sz w:val="16"/>
                          <w:szCs w:val="16"/>
                        </w:rPr>
                        <w:t>Grafico 2: s</w:t>
                      </w:r>
                      <w:r w:rsidRPr="00786640">
                        <w:rPr>
                          <w:sz w:val="16"/>
                          <w:szCs w:val="16"/>
                        </w:rPr>
                        <w:t>uddivisione del costo del personale</w:t>
                      </w:r>
                      <w:r>
                        <w:rPr>
                          <w:sz w:val="16"/>
                          <w:szCs w:val="16"/>
                        </w:rPr>
                        <w:t xml:space="preserve"> dell’Autorità di Sistema Portuale del Mar Adriatico Settentrionale </w:t>
                      </w:r>
                      <w:r w:rsidRPr="00786640">
                        <w:rPr>
                          <w:sz w:val="16"/>
                          <w:szCs w:val="16"/>
                        </w:rPr>
                        <w:t>per capitoli di spesa</w:t>
                      </w:r>
                      <w:r>
                        <w:rPr>
                          <w:sz w:val="16"/>
                          <w:szCs w:val="16"/>
                        </w:rPr>
                        <w:t xml:space="preserve"> </w:t>
                      </w:r>
                    </w:p>
                  </w:txbxContent>
                </v:textbox>
                <w10:wrap anchorx="margin"/>
              </v:shape>
            </w:pict>
          </mc:Fallback>
        </mc:AlternateContent>
      </w:r>
    </w:p>
    <w:p w14:paraId="547B1140" w14:textId="77777777" w:rsidR="001F5B56" w:rsidRDefault="001F5B56" w:rsidP="001F5B56">
      <w:pPr>
        <w:jc w:val="both"/>
      </w:pPr>
      <w:r>
        <w:lastRenderedPageBreak/>
        <w:t>Per quel che concerne le attività svolte in modalità “Smart Working” e le attività svolte concernenti il Piano Organizzativo del Lavoro Agile (POLA), l’Ente nel corso del 2021 ha proseguito con l’organizzazione del lavoro anche in modalità agile, secondo quanto previsto dalla normativa attraverso la stipula di accordi individuali con il lavoratore in cui sono stati definiti durata, modalità e obiettivi.</w:t>
      </w:r>
    </w:p>
    <w:p w14:paraId="4C5721F7" w14:textId="77777777" w:rsidR="001F5B56" w:rsidRDefault="001F5B56" w:rsidP="001F5B56">
      <w:pPr>
        <w:jc w:val="both"/>
      </w:pPr>
      <w:r>
        <w:t>Tale modalità di lavoro ha stimolato un processo di innovazione verso una maggiore efficacia dell’azione amministrativa e dell’orientamento ai risultati e verso una promozione dell’uso delle tecnologie digitali con conseguente sviluppo delle conoscenze digitali del personale e, contemporaneamente, ha migliorato la qualità della vita lavorativa del personale dipendente conciliando i tempi di vita – lavoro, così come previsto dal Piano Organizzativo del Lavoro Agile (POLA) adottato con Decreto n. 587/2021.</w:t>
      </w:r>
    </w:p>
    <w:p w14:paraId="2CC1B66E" w14:textId="77777777" w:rsidR="001F5B56" w:rsidRDefault="001F5B56" w:rsidP="001F5B56">
      <w:pPr>
        <w:jc w:val="both"/>
      </w:pPr>
      <w:r>
        <w:t>Tale documento sarà oggetto di revisione nell’ambito del Piano integrato delle attività e organizzazione (PIAO), scadenza prevista il 30 giugno 2022 (Decreto PRNN 2), in cui saranno definite misure organizzative, dotazione di strumenti informatici, percorsi formativi e strumenti di verifica dei risultati conseguiti, anche in termini di miglioramento dell’efficacia e dell’efficienza dell’azione amministrativa, della digitalizzazione dei processi, nonché della qualità dei servizi erogati. Tale documento vedrà nella sua redazione il supporto e la collaborazione dell’Organismo Indipendente di Valutazione (OIV).</w:t>
      </w:r>
    </w:p>
    <w:p w14:paraId="1E436DD4" w14:textId="77777777" w:rsidR="001F5B56" w:rsidRDefault="001F5B56" w:rsidP="001F5B56">
      <w:pPr>
        <w:jc w:val="both"/>
      </w:pPr>
      <w:r>
        <w:t>Grazie a questa esperienza l’Autorità di Sistema Portuale del Mare Adriatico Settentrionale ha potuto fronteggiare efficacemente l’emergenza sanitaria del 2020, consentendo di contemperare l’esigenza di contrasto alla pandemia con la necessità di continuità nell’erogazione dei servizi. Coerentemente con quanto previsto dai DPCM in materia di lavoro agile, e soprattutto per una migliore organizzazione del lavoro, AdSP MAS a partire dal 12 marzo 2020 ha infatti proceduto a definire la programmazione settimanale/mensile della modalità lavorativa (agile/presenza) del personale dipendente.</w:t>
      </w:r>
    </w:p>
    <w:tbl>
      <w:tblPr>
        <w:tblpPr w:leftFromText="141" w:rightFromText="141" w:vertAnchor="text" w:horzAnchor="margin" w:tblpY="1754"/>
        <w:tblW w:w="9618" w:type="dxa"/>
        <w:tblCellMar>
          <w:left w:w="70" w:type="dxa"/>
          <w:right w:w="70" w:type="dxa"/>
        </w:tblCellMar>
        <w:tblLook w:val="04A0" w:firstRow="1" w:lastRow="0" w:firstColumn="1" w:lastColumn="0" w:noHBand="0" w:noVBand="1"/>
      </w:tblPr>
      <w:tblGrid>
        <w:gridCol w:w="2684"/>
        <w:gridCol w:w="3543"/>
        <w:gridCol w:w="3391"/>
      </w:tblGrid>
      <w:tr w:rsidR="00464E74" w:rsidRPr="00F2096D" w14:paraId="147B5027" w14:textId="77777777" w:rsidTr="00464E74">
        <w:trPr>
          <w:trHeight w:val="402"/>
        </w:trPr>
        <w:tc>
          <w:tcPr>
            <w:tcW w:w="9618" w:type="dxa"/>
            <w:gridSpan w:val="3"/>
            <w:tcBorders>
              <w:top w:val="single" w:sz="8" w:space="0" w:color="auto"/>
              <w:left w:val="single" w:sz="8" w:space="0" w:color="auto"/>
              <w:bottom w:val="single" w:sz="8" w:space="0" w:color="auto"/>
              <w:right w:val="single" w:sz="8" w:space="0" w:color="000000"/>
            </w:tcBorders>
            <w:shd w:val="clear" w:color="auto" w:fill="BFBFBF" w:themeFill="background1" w:themeFillShade="BF"/>
            <w:vAlign w:val="center"/>
            <w:hideMark/>
          </w:tcPr>
          <w:p w14:paraId="5550B6A2" w14:textId="77777777" w:rsidR="00464E74" w:rsidRPr="00F2096D" w:rsidRDefault="00464E74" w:rsidP="00464E74">
            <w:pPr>
              <w:jc w:val="center"/>
              <w:rPr>
                <w:rFonts w:ascii="Calibri" w:hAnsi="Calibri" w:cs="Calibri"/>
                <w:b/>
                <w:bCs/>
                <w:color w:val="000000"/>
                <w:szCs w:val="24"/>
                <w:lang w:eastAsia="it-IT"/>
              </w:rPr>
            </w:pPr>
            <w:r w:rsidRPr="00CF2EC5">
              <w:rPr>
                <w:rFonts w:ascii="Calibri" w:hAnsi="Calibri" w:cs="Calibri"/>
                <w:b/>
                <w:bCs/>
                <w:color w:val="000000"/>
                <w:szCs w:val="24"/>
                <w:lang w:eastAsia="it-IT"/>
              </w:rPr>
              <w:t>Principali azioni propedeutiche al</w:t>
            </w:r>
            <w:r>
              <w:rPr>
                <w:rFonts w:ascii="Calibri" w:hAnsi="Calibri" w:cs="Calibri"/>
                <w:b/>
                <w:bCs/>
                <w:color w:val="000000"/>
                <w:szCs w:val="24"/>
                <w:lang w:eastAsia="it-IT"/>
              </w:rPr>
              <w:t xml:space="preserve"> “</w:t>
            </w:r>
            <w:r w:rsidRPr="00CF2EC5">
              <w:rPr>
                <w:rFonts w:ascii="Calibri" w:hAnsi="Calibri" w:cs="Calibri"/>
                <w:b/>
                <w:bCs/>
                <w:color w:val="000000"/>
                <w:szCs w:val="24"/>
                <w:lang w:eastAsia="it-IT"/>
              </w:rPr>
              <w:t>POLA</w:t>
            </w:r>
            <w:r>
              <w:rPr>
                <w:rFonts w:ascii="Calibri" w:hAnsi="Calibri" w:cs="Calibri"/>
                <w:b/>
                <w:bCs/>
                <w:color w:val="000000"/>
                <w:szCs w:val="24"/>
                <w:lang w:eastAsia="it-IT"/>
              </w:rPr>
              <w:t>”</w:t>
            </w:r>
          </w:p>
        </w:tc>
      </w:tr>
      <w:tr w:rsidR="00464E74" w:rsidRPr="00F2096D" w14:paraId="3E2FB92E" w14:textId="77777777" w:rsidTr="00464E74">
        <w:trPr>
          <w:trHeight w:val="224"/>
        </w:trPr>
        <w:tc>
          <w:tcPr>
            <w:tcW w:w="2684" w:type="dxa"/>
            <w:tcBorders>
              <w:top w:val="nil"/>
              <w:left w:val="single" w:sz="8" w:space="0" w:color="auto"/>
              <w:bottom w:val="single" w:sz="8" w:space="0" w:color="auto"/>
              <w:right w:val="single" w:sz="8" w:space="0" w:color="auto"/>
            </w:tcBorders>
            <w:shd w:val="clear" w:color="auto" w:fill="F2F2F2" w:themeFill="background1" w:themeFillShade="F2"/>
            <w:vAlign w:val="center"/>
            <w:hideMark/>
          </w:tcPr>
          <w:p w14:paraId="59BE9FD7" w14:textId="7EB8FEEA" w:rsidR="00464E74" w:rsidRPr="00F2096D" w:rsidRDefault="00464E74" w:rsidP="00464E74">
            <w:pPr>
              <w:jc w:val="center"/>
              <w:rPr>
                <w:rFonts w:ascii="Calibri" w:hAnsi="Calibri" w:cs="Calibri"/>
                <w:color w:val="000000"/>
                <w:szCs w:val="24"/>
                <w:lang w:eastAsia="it-IT"/>
              </w:rPr>
            </w:pPr>
            <w:r>
              <w:rPr>
                <w:rFonts w:ascii="Calibri" w:hAnsi="Calibri" w:cs="Calibri"/>
                <w:color w:val="000000"/>
                <w:szCs w:val="24"/>
                <w:lang w:eastAsia="it-IT"/>
              </w:rPr>
              <w:t>Regolazione Smart Working e Contrattazione di II Livello</w:t>
            </w:r>
          </w:p>
        </w:tc>
        <w:tc>
          <w:tcPr>
            <w:tcW w:w="3543" w:type="dxa"/>
            <w:tcBorders>
              <w:top w:val="nil"/>
              <w:left w:val="nil"/>
              <w:bottom w:val="single" w:sz="8" w:space="0" w:color="auto"/>
              <w:right w:val="nil"/>
            </w:tcBorders>
            <w:shd w:val="clear" w:color="auto" w:fill="F2F2F2" w:themeFill="background1" w:themeFillShade="F2"/>
          </w:tcPr>
          <w:p w14:paraId="0106D360" w14:textId="77777777" w:rsidR="00464E74" w:rsidRPr="00F2096D" w:rsidRDefault="00464E74" w:rsidP="00464E74">
            <w:pPr>
              <w:jc w:val="center"/>
              <w:rPr>
                <w:rFonts w:ascii="Calibri" w:hAnsi="Calibri" w:cs="Calibri"/>
                <w:color w:val="000000"/>
                <w:szCs w:val="24"/>
                <w:lang w:eastAsia="it-IT"/>
              </w:rPr>
            </w:pPr>
            <w:r>
              <w:rPr>
                <w:rFonts w:ascii="Calibri" w:hAnsi="Calibri" w:cs="Calibri"/>
                <w:color w:val="000000"/>
                <w:szCs w:val="24"/>
                <w:lang w:eastAsia="it-IT"/>
              </w:rPr>
              <w:t>Formazione personale dipendente su Smart Working e competenze digitali</w:t>
            </w:r>
          </w:p>
        </w:tc>
        <w:tc>
          <w:tcPr>
            <w:tcW w:w="3391" w:type="dxa"/>
            <w:tcBorders>
              <w:top w:val="nil"/>
              <w:left w:val="nil"/>
              <w:bottom w:val="single" w:sz="8" w:space="0" w:color="auto"/>
              <w:right w:val="single" w:sz="8" w:space="0" w:color="auto"/>
            </w:tcBorders>
            <w:shd w:val="clear" w:color="auto" w:fill="F2F2F2" w:themeFill="background1" w:themeFillShade="F2"/>
            <w:vAlign w:val="center"/>
            <w:hideMark/>
          </w:tcPr>
          <w:p w14:paraId="7DE7BC4C" w14:textId="1C06598C" w:rsidR="00464E74" w:rsidRPr="00F2096D" w:rsidRDefault="00464E74" w:rsidP="00464E74">
            <w:pPr>
              <w:jc w:val="center"/>
              <w:rPr>
                <w:rFonts w:ascii="Calibri" w:hAnsi="Calibri" w:cs="Calibri"/>
                <w:color w:val="000000"/>
                <w:szCs w:val="24"/>
                <w:lang w:eastAsia="it-IT"/>
              </w:rPr>
            </w:pPr>
            <w:r>
              <w:rPr>
                <w:rFonts w:ascii="Calibri" w:hAnsi="Calibri" w:cs="Calibri"/>
                <w:color w:val="000000"/>
                <w:szCs w:val="24"/>
                <w:lang w:eastAsia="it-IT"/>
              </w:rPr>
              <w:t>Monitoraggio e analisi del benessere organizzativo</w:t>
            </w:r>
          </w:p>
        </w:tc>
      </w:tr>
      <w:tr w:rsidR="00464E74" w:rsidRPr="00F2096D" w14:paraId="2F70EFF0" w14:textId="77777777" w:rsidTr="00464E74">
        <w:trPr>
          <w:trHeight w:val="330"/>
        </w:trPr>
        <w:tc>
          <w:tcPr>
            <w:tcW w:w="2684" w:type="dxa"/>
            <w:tcBorders>
              <w:top w:val="nil"/>
              <w:left w:val="single" w:sz="8" w:space="0" w:color="auto"/>
              <w:bottom w:val="single" w:sz="8" w:space="0" w:color="auto"/>
              <w:right w:val="single" w:sz="8" w:space="0" w:color="auto"/>
            </w:tcBorders>
            <w:shd w:val="clear" w:color="auto" w:fill="F2F2F2" w:themeFill="background1" w:themeFillShade="F2"/>
            <w:vAlign w:val="center"/>
            <w:hideMark/>
          </w:tcPr>
          <w:p w14:paraId="47DFEB9B" w14:textId="10BDDD60" w:rsidR="00464E74" w:rsidRPr="00F2096D" w:rsidRDefault="00464E74" w:rsidP="00464E74">
            <w:pPr>
              <w:jc w:val="center"/>
              <w:rPr>
                <w:rFonts w:ascii="Calibri" w:hAnsi="Calibri" w:cs="Calibri"/>
                <w:color w:val="000000"/>
                <w:szCs w:val="24"/>
                <w:lang w:eastAsia="it-IT"/>
              </w:rPr>
            </w:pPr>
            <w:r>
              <w:rPr>
                <w:rFonts w:ascii="Calibri" w:hAnsi="Calibri" w:cs="Calibri"/>
                <w:color w:val="000000"/>
                <w:szCs w:val="24"/>
                <w:lang w:eastAsia="it-IT"/>
              </w:rPr>
              <w:t>Dotazioni dispositivi IT</w:t>
            </w:r>
          </w:p>
        </w:tc>
        <w:tc>
          <w:tcPr>
            <w:tcW w:w="3543" w:type="dxa"/>
            <w:tcBorders>
              <w:top w:val="nil"/>
              <w:left w:val="nil"/>
              <w:bottom w:val="single" w:sz="8" w:space="0" w:color="auto"/>
              <w:right w:val="nil"/>
            </w:tcBorders>
            <w:shd w:val="clear" w:color="auto" w:fill="F2F2F2" w:themeFill="background1" w:themeFillShade="F2"/>
          </w:tcPr>
          <w:p w14:paraId="745E879A" w14:textId="77777777" w:rsidR="00464E74" w:rsidRPr="00F2096D" w:rsidRDefault="00464E74" w:rsidP="00464E74">
            <w:pPr>
              <w:jc w:val="center"/>
              <w:rPr>
                <w:rFonts w:ascii="Calibri" w:hAnsi="Calibri" w:cs="Calibri"/>
                <w:color w:val="000000"/>
                <w:szCs w:val="24"/>
                <w:lang w:eastAsia="it-IT"/>
              </w:rPr>
            </w:pPr>
            <w:r>
              <w:rPr>
                <w:rFonts w:ascii="Calibri" w:hAnsi="Calibri" w:cs="Calibri"/>
                <w:color w:val="000000"/>
                <w:szCs w:val="24"/>
                <w:lang w:eastAsia="it-IT"/>
              </w:rPr>
              <w:t>Innovazione, tecnologia e digitalizzazione</w:t>
            </w:r>
          </w:p>
        </w:tc>
        <w:tc>
          <w:tcPr>
            <w:tcW w:w="3391" w:type="dxa"/>
            <w:tcBorders>
              <w:top w:val="nil"/>
              <w:left w:val="nil"/>
              <w:bottom w:val="single" w:sz="8" w:space="0" w:color="auto"/>
              <w:right w:val="single" w:sz="8" w:space="0" w:color="auto"/>
            </w:tcBorders>
            <w:shd w:val="clear" w:color="auto" w:fill="F2F2F2" w:themeFill="background1" w:themeFillShade="F2"/>
            <w:vAlign w:val="center"/>
            <w:hideMark/>
          </w:tcPr>
          <w:p w14:paraId="6985072B" w14:textId="77777777" w:rsidR="00464E74" w:rsidRPr="00F2096D" w:rsidRDefault="00464E74" w:rsidP="00464E74">
            <w:pPr>
              <w:jc w:val="center"/>
              <w:rPr>
                <w:rFonts w:ascii="Calibri" w:hAnsi="Calibri" w:cs="Calibri"/>
                <w:color w:val="000000"/>
                <w:szCs w:val="24"/>
                <w:lang w:eastAsia="it-IT"/>
              </w:rPr>
            </w:pPr>
            <w:r>
              <w:rPr>
                <w:rFonts w:ascii="Calibri" w:hAnsi="Calibri" w:cs="Calibri"/>
                <w:color w:val="000000"/>
                <w:szCs w:val="24"/>
                <w:lang w:eastAsia="it-IT"/>
              </w:rPr>
              <w:t>Smart Space</w:t>
            </w:r>
          </w:p>
        </w:tc>
      </w:tr>
    </w:tbl>
    <w:p w14:paraId="65F38835" w14:textId="79450E2F" w:rsidR="001F5B56" w:rsidRDefault="00464E74" w:rsidP="001F5B56">
      <w:pPr>
        <w:jc w:val="both"/>
      </w:pPr>
      <w:r>
        <w:rPr>
          <w:noProof/>
          <w:lang w:eastAsia="it-IT"/>
        </w:rPr>
        <mc:AlternateContent>
          <mc:Choice Requires="wps">
            <w:drawing>
              <wp:anchor distT="0" distB="0" distL="114300" distR="114300" simplePos="0" relativeHeight="251702272" behindDoc="0" locked="0" layoutInCell="1" allowOverlap="1" wp14:anchorId="1AB19292" wp14:editId="704F4120">
                <wp:simplePos x="0" y="0"/>
                <wp:positionH relativeFrom="margin">
                  <wp:posOffset>-2210</wp:posOffset>
                </wp:positionH>
                <wp:positionV relativeFrom="paragraph">
                  <wp:posOffset>2375535</wp:posOffset>
                </wp:positionV>
                <wp:extent cx="6106795" cy="253365"/>
                <wp:effectExtent l="0" t="0" r="27305" b="13335"/>
                <wp:wrapNone/>
                <wp:docPr id="17" name="Casella di testo 17"/>
                <wp:cNvGraphicFramePr/>
                <a:graphic xmlns:a="http://schemas.openxmlformats.org/drawingml/2006/main">
                  <a:graphicData uri="http://schemas.microsoft.com/office/word/2010/wordprocessingShape">
                    <wps:wsp>
                      <wps:cNvSpPr txBox="1"/>
                      <wps:spPr>
                        <a:xfrm>
                          <a:off x="0" y="0"/>
                          <a:ext cx="6106795" cy="25336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F3026E3" w14:textId="2B825247" w:rsidR="00464E74" w:rsidRPr="00A549AF" w:rsidRDefault="00464E74" w:rsidP="00464E74">
                            <w:pPr>
                              <w:rPr>
                                <w:sz w:val="16"/>
                                <w:szCs w:val="16"/>
                              </w:rPr>
                            </w:pPr>
                            <w:r>
                              <w:rPr>
                                <w:sz w:val="16"/>
                                <w:szCs w:val="16"/>
                              </w:rPr>
                              <w:t>Tab. 7: Principali azioni propedeutiche alla redazione del Piano Organizzativo Lavoro Agile (POLA)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1AB19292" id="Casella di testo 17" o:spid="_x0000_s1031" type="#_x0000_t202" style="position:absolute;left:0;text-align:left;margin-left:-.15pt;margin-top:187.05pt;width:480.85pt;height:19.95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" fillcolor="white [3201]" strokeweight=".5pt">
                <v:textbox>
                  <w:txbxContent>
                    <w:p w14:paraId="5F3026E3" w14:textId="2B825247" w:rsidR="00464E74" w:rsidRPr="00A549AF" w:rsidRDefault="00464E74" w:rsidP="00464E74">
                      <w:pPr>
                        <w:rPr>
                          <w:sz w:val="16"/>
                          <w:szCs w:val="16"/>
                        </w:rPr>
                      </w:pPr>
                      <w:r>
                        <w:rPr>
                          <w:sz w:val="16"/>
                          <w:szCs w:val="16"/>
                        </w:rPr>
                        <w:t>Tab. 7: Principali azioni propedeutiche alla redazione del Piano Organizzativo Lavoro Agile (POLA)</w:t>
                      </w:r>
                    </w:p>
                  </w:txbxContent>
                </v:textbox>
                <w10:wrap anchorx="margin"/>
              </v:shape>
            </w:pict>
          </mc:Fallback>
        </mc:AlternateContent>
      </w:r>
      <w:r w:rsidR="001F5B56">
        <w:t>Coerentemente con quanto previsto dal Modello di Rendicontazione di sostenibilità dell’Ente, in particolare le azioni per il benessere organizzativo e inclusione sociale (“Governance e Etica”), l’analisi e monitoraggio del 2021 saranno il punto di partenza per l’individuazione dei contenuti del futuro Piano Organizzativo Lavoro Agile (POLA) per il triennio 2022-2024. Obiettivo ultimo, nell’arco di un triennio, è giungere ad una fase di sviluppo avanzato in cui dovranno essere monitorate tutte le dimensioni indicate. Di seguito le principali azioni:</w:t>
      </w:r>
    </w:p>
    <w:p w14:paraId="6D344C66" w14:textId="05B48453" w:rsidR="00464E74" w:rsidRDefault="00464E74" w:rsidP="001F5B56">
      <w:pPr>
        <w:jc w:val="both"/>
      </w:pPr>
    </w:p>
    <w:p w14:paraId="1EB57E7C" w14:textId="77777777" w:rsidR="00464E74" w:rsidRDefault="00464E74" w:rsidP="001F5B56">
      <w:pPr>
        <w:jc w:val="both"/>
      </w:pPr>
    </w:p>
    <w:p w14:paraId="76EA04D8" w14:textId="44890955" w:rsidR="0086346E" w:rsidRPr="00F8380B" w:rsidRDefault="0086346E" w:rsidP="002D4276">
      <w:pPr>
        <w:pStyle w:val="Titolo2"/>
        <w:numPr>
          <w:ilvl w:val="1"/>
          <w:numId w:val="9"/>
        </w:numPr>
        <w:rPr>
          <w:u w:val="single"/>
        </w:rPr>
      </w:pPr>
      <w:bookmarkStart w:id="3" w:name="_Toc103881170"/>
      <w:r w:rsidRPr="00F8380B">
        <w:rPr>
          <w:u w:val="single"/>
        </w:rPr>
        <w:t>Compilazione della tabella allegata relativa al personale.</w:t>
      </w:r>
      <w:bookmarkEnd w:id="3"/>
    </w:p>
    <w:p w14:paraId="2814BD90" w14:textId="0AC8C75C" w:rsidR="001F5B56" w:rsidRDefault="0086346E" w:rsidP="0086346E">
      <w:pPr>
        <w:jc w:val="both"/>
      </w:pPr>
      <w:r>
        <w:t>Vedi tabella allegata</w:t>
      </w:r>
    </w:p>
    <w:p w14:paraId="586D41E1" w14:textId="2AD67798" w:rsidR="001F5B56" w:rsidRDefault="001F5B56" w:rsidP="00782261">
      <w:pPr>
        <w:jc w:val="both"/>
      </w:pPr>
    </w:p>
    <w:p w14:paraId="507DF9E2" w14:textId="3FE790F8" w:rsidR="0086346E" w:rsidRPr="00F8380B" w:rsidRDefault="0086346E" w:rsidP="002D4276">
      <w:pPr>
        <w:pStyle w:val="Titolo2"/>
        <w:numPr>
          <w:ilvl w:val="1"/>
          <w:numId w:val="9"/>
        </w:numPr>
        <w:rPr>
          <w:u w:val="single"/>
        </w:rPr>
      </w:pPr>
      <w:bookmarkStart w:id="4" w:name="_Toc103881171"/>
      <w:r w:rsidRPr="00F8380B">
        <w:rPr>
          <w:u w:val="single"/>
        </w:rPr>
        <w:t>Notizie su procedure concorsuali per assunzione di personale concluse o in corso di svolgimento</w:t>
      </w:r>
      <w:bookmarkEnd w:id="4"/>
    </w:p>
    <w:p w14:paraId="66305E4A" w14:textId="77777777" w:rsidR="0086346E" w:rsidRDefault="0086346E" w:rsidP="0086346E">
      <w:pPr>
        <w:jc w:val="both"/>
      </w:pPr>
      <w:r>
        <w:t>Durante l’anno 2021 si è proceduto allo svolgimento dei seguenti due iter selettivi:</w:t>
      </w:r>
    </w:p>
    <w:p w14:paraId="487B28F6" w14:textId="242350DE" w:rsidR="0086346E" w:rsidRDefault="0086346E" w:rsidP="002D4276">
      <w:pPr>
        <w:pStyle w:val="Paragrafoelenco"/>
        <w:numPr>
          <w:ilvl w:val="0"/>
          <w:numId w:val="3"/>
        </w:numPr>
        <w:jc w:val="both"/>
      </w:pPr>
      <w:r>
        <w:lastRenderedPageBreak/>
        <w:t>procedura per l’assunzione con un contratto di lavoro subordinato a tempo pieno e indeterminato di un Impiegato Tecnico di 3° livello da assegnare all’Area Pianificazione Urbanistica e Autorizzazione Opere nei Porti, il cui avviso di selezione era stato pubblicato il 12 agosto 2020. La graduatoria relativa alla selezione è stata pubblicata in data 21 maggio 2021 e il primo in graduatoria è stato</w:t>
      </w:r>
      <w:r w:rsidR="007A38AA">
        <w:t xml:space="preserve"> assunto in data 14 luglio 2021;</w:t>
      </w:r>
    </w:p>
    <w:p w14:paraId="1544B896" w14:textId="0B36983E" w:rsidR="0086346E" w:rsidRDefault="0086346E" w:rsidP="002D4276">
      <w:pPr>
        <w:pStyle w:val="Paragrafoelenco"/>
        <w:numPr>
          <w:ilvl w:val="0"/>
          <w:numId w:val="3"/>
        </w:numPr>
        <w:jc w:val="both"/>
      </w:pPr>
      <w:r>
        <w:t>procedura per l’assunzione con un contratto di lavoro subordinato a tempo indeterminato di un dirigente responsabile della Direzione Tecnica. L’avviso di selezione è stato pubblicato in data 19 maggio 2021 e la graduatoria in data 29 novembre 2021. Il dirigente è stato assunto a decorrere dal 1° novembre 2021.</w:t>
      </w:r>
    </w:p>
    <w:p w14:paraId="690EAEC3" w14:textId="37DF462D" w:rsidR="0086346E" w:rsidRDefault="0086346E" w:rsidP="0086346E">
      <w:pPr>
        <w:jc w:val="both"/>
      </w:pPr>
      <w:r>
        <w:t>Nel corso dell’anno non sono state bandite altre procedure concorsuali.</w:t>
      </w:r>
    </w:p>
    <w:p w14:paraId="5D79C87C" w14:textId="790B58CB" w:rsidR="0086346E" w:rsidRDefault="0086346E" w:rsidP="0086346E">
      <w:pPr>
        <w:jc w:val="both"/>
      </w:pPr>
      <w:r>
        <w:t xml:space="preserve">Circa le assunzioni a tempo determinato e indeterminato, nel corso dell’anno 2021 vi sono state quattro assunzioni con un contratto di lavoro subordinato, così suddivise: </w:t>
      </w:r>
    </w:p>
    <w:p w14:paraId="52F32A55" w14:textId="77777777" w:rsidR="00440A5B" w:rsidRDefault="0086346E" w:rsidP="002D4276">
      <w:pPr>
        <w:pStyle w:val="Paragrafoelenco"/>
        <w:numPr>
          <w:ilvl w:val="0"/>
          <w:numId w:val="4"/>
        </w:numPr>
        <w:jc w:val="both"/>
      </w:pPr>
      <w:r>
        <w:t>un dirigente a tempo indeterminato a cui è stata assegnata la Responsabilità alla Direzione Tecnica avvenuta in data 01/11/2021;</w:t>
      </w:r>
    </w:p>
    <w:p w14:paraId="75A9495D" w14:textId="77777777" w:rsidR="00440A5B" w:rsidRDefault="0086346E" w:rsidP="002D4276">
      <w:pPr>
        <w:pStyle w:val="Paragrafoelenco"/>
        <w:numPr>
          <w:ilvl w:val="0"/>
          <w:numId w:val="4"/>
        </w:numPr>
        <w:jc w:val="both"/>
      </w:pPr>
      <w:r>
        <w:t>un impiegato di 3° livello a tempo indeterminato assegnato alla Direzione Pianificazione Strategica - Area Pianificazione Urbanistica e Autorizzazioni Opere nei Porti avvenuta in data 14/07/2021;</w:t>
      </w:r>
    </w:p>
    <w:p w14:paraId="29FACEF7" w14:textId="77777777" w:rsidR="00440A5B" w:rsidRDefault="0086346E" w:rsidP="002D4276">
      <w:pPr>
        <w:pStyle w:val="Paragrafoelenco"/>
        <w:numPr>
          <w:ilvl w:val="0"/>
          <w:numId w:val="4"/>
        </w:numPr>
        <w:jc w:val="both"/>
      </w:pPr>
      <w:r>
        <w:t xml:space="preserve">un impiegato di 3° livello a tempo determinato (12 mesi) assegnato alla Direzione Pianificazione Strategica - Area Pianificazione Urbanistica e Autorizzazioni Opere nei Porti avvenuta in data 01/09/2021; </w:t>
      </w:r>
    </w:p>
    <w:p w14:paraId="7CAEE8E8" w14:textId="2ECA8270" w:rsidR="0086346E" w:rsidRDefault="0086346E" w:rsidP="002D4276">
      <w:pPr>
        <w:pStyle w:val="Paragrafoelenco"/>
        <w:numPr>
          <w:ilvl w:val="0"/>
          <w:numId w:val="4"/>
        </w:numPr>
        <w:jc w:val="both"/>
      </w:pPr>
      <w:r>
        <w:t>un impiegato di 3° livello a tempo determinato (12 mesi) assegnato alla Direzione Pianificazione Strategica - Area Pianificazione Strategica e Trasportistica avvenuta in data 20/09/2021, con oneri a carico dei progetti “Green and Connected Ports” e “Channeling the Green Deal for Venice”.</w:t>
      </w:r>
    </w:p>
    <w:p w14:paraId="3047CD24" w14:textId="77777777" w:rsidR="0086346E" w:rsidRDefault="0086346E" w:rsidP="0086346E">
      <w:pPr>
        <w:jc w:val="both"/>
      </w:pPr>
      <w:r>
        <w:t>Il 1° dicembre 2021 c’è stata, inoltre, la trasformazione del rapporto di lavoro da tempo determinato a tempo indeterminato di un dipendente con qualifica professionale di impiegato di 2° livello. L’interessato è assegnato alla Direzione Demanio – Area Valorizzazione Beni Demaniali.</w:t>
      </w:r>
    </w:p>
    <w:p w14:paraId="4D95AEDA" w14:textId="77777777" w:rsidR="0086346E" w:rsidRDefault="0086346E" w:rsidP="0086346E">
      <w:pPr>
        <w:jc w:val="both"/>
      </w:pPr>
      <w:r>
        <w:t xml:space="preserve">Inoltre, vi è stata l’assunzione del nuovo Segretario Generale con un contratto di lavoro subordinato a tempo determinato con ruolo dirigenziale avvenuta in data 26/10/2021. </w:t>
      </w:r>
    </w:p>
    <w:p w14:paraId="0D694DE9" w14:textId="702B65F8" w:rsidR="0086346E" w:rsidRDefault="00440A5B" w:rsidP="0086346E">
      <w:pPr>
        <w:jc w:val="both"/>
      </w:pPr>
      <w:r>
        <w:t>Circa la c</w:t>
      </w:r>
      <w:r w:rsidR="0086346E">
        <w:t>essazione</w:t>
      </w:r>
      <w:r>
        <w:t xml:space="preserve"> di</w:t>
      </w:r>
      <w:r w:rsidR="0086346E">
        <w:t xml:space="preserve"> personale a tempo indeterminato</w:t>
      </w:r>
      <w:r>
        <w:t>, i</w:t>
      </w:r>
      <w:r w:rsidR="0086346E">
        <w:t>n data 18/07/2021 vi è stata la cessazione del contratto di lavoro subordinato a tempo determinato del Segretario Generale.</w:t>
      </w:r>
      <w:r>
        <w:t xml:space="preserve"> </w:t>
      </w:r>
      <w:r w:rsidR="0086346E">
        <w:t>Ci sono state, inoltre, quattro cessazioni di personale dipendente a tempo indeterminato così suddivise: un impiegato di 1° livello avvenuta in data 19/05/2021, due dirigenti rispettivamente in data 31/05/2021 e 31/10/2021 ed un quadro “A” avvenuta in data 31/10/2021.</w:t>
      </w:r>
    </w:p>
    <w:p w14:paraId="7D953B3C" w14:textId="4A6B1595" w:rsidR="0086346E" w:rsidRDefault="00440A5B" w:rsidP="0086346E">
      <w:pPr>
        <w:jc w:val="both"/>
        <w:rPr>
          <w:noProof/>
          <w:lang w:eastAsia="it-IT"/>
        </w:rPr>
      </w:pPr>
      <w:r>
        <w:t>Circa il p</w:t>
      </w:r>
      <w:r w:rsidR="0086346E">
        <w:t>ersonale a tempo determinato</w:t>
      </w:r>
      <w:r>
        <w:t xml:space="preserve"> si riferisce che, a</w:t>
      </w:r>
      <w:r w:rsidR="0086346E">
        <w:t>l 31/12/2021 erano in servizio due dipendenti con un contratto di lavoro a tempo determinato a tempo pieno con inquadramento di impiegato di 3° livello, di cui uno con oneri a carico di progetti europei.</w:t>
      </w:r>
      <w:r w:rsidR="00256B3B" w:rsidRPr="00256B3B">
        <w:rPr>
          <w:noProof/>
          <w:lang w:eastAsia="it-IT"/>
        </w:rPr>
        <w:t xml:space="preserve"> </w:t>
      </w:r>
    </w:p>
    <w:p w14:paraId="2129AAED" w14:textId="3441E8FC" w:rsidR="00FE3E01" w:rsidRDefault="00FE3E01" w:rsidP="00FE3E01">
      <w:pPr>
        <w:jc w:val="both"/>
      </w:pPr>
      <w:r>
        <w:t>Nel corso del 2021 sono stati stipulati due nuovi contratti di collaborazione coordinata continuativa, collegati alla gestione, alla rendicontazione e allo sviluppo di progetti europei.</w:t>
      </w:r>
    </w:p>
    <w:p w14:paraId="0927D68A" w14:textId="481D1626" w:rsidR="00FE3E01" w:rsidRDefault="00FE3E01" w:rsidP="0086346E">
      <w:pPr>
        <w:jc w:val="both"/>
      </w:pPr>
      <w:r>
        <w:t>I contratti sono stati sottoposti al controllo preventivo di legittimità da parte della Corte dei Conti, ai sensi dell’art. 3 comma 1 della Legge 20/1994, come modificato dall’art. 17 comma 30 del D.L. 78/2009, convertito con Legge n. 102/09 ed il relativo onere è stato finanziato con i Fondi strutturali e d'investimento dell’Unione Europea.</w:t>
      </w:r>
    </w:p>
    <w:p w14:paraId="7E5247A7" w14:textId="4864DFA1" w:rsidR="001F5B56" w:rsidRDefault="00440A5B" w:rsidP="0086346E">
      <w:pPr>
        <w:jc w:val="both"/>
      </w:pPr>
      <w:r>
        <w:lastRenderedPageBreak/>
        <w:t>Circa l</w:t>
      </w:r>
      <w:r w:rsidR="0086346E">
        <w:t xml:space="preserve">a composizione del personale dell’Autorità di Sistema Portuale </w:t>
      </w:r>
      <w:r>
        <w:t>si sono</w:t>
      </w:r>
      <w:r w:rsidR="0086346E">
        <w:t xml:space="preserve"> registrat</w:t>
      </w:r>
      <w:r>
        <w:t>e</w:t>
      </w:r>
      <w:r w:rsidR="0086346E">
        <w:t xml:space="preserve"> dal 2020 al 2021 l</w:t>
      </w:r>
      <w:r>
        <w:t>e</w:t>
      </w:r>
      <w:r w:rsidR="0086346E">
        <w:t xml:space="preserve"> dinamiche indicate nelle tabella sotto riportata:</w:t>
      </w:r>
    </w:p>
    <w:tbl>
      <w:tblPr>
        <w:tblW w:w="9279" w:type="dxa"/>
        <w:tblCellMar>
          <w:left w:w="70" w:type="dxa"/>
          <w:right w:w="70" w:type="dxa"/>
        </w:tblCellMar>
        <w:tblLook w:val="04A0" w:firstRow="1" w:lastRow="0" w:firstColumn="1" w:lastColumn="0" w:noHBand="0" w:noVBand="1"/>
      </w:tblPr>
      <w:tblGrid>
        <w:gridCol w:w="1008"/>
        <w:gridCol w:w="4239"/>
        <w:gridCol w:w="1008"/>
        <w:gridCol w:w="1008"/>
        <w:gridCol w:w="1008"/>
        <w:gridCol w:w="1008"/>
      </w:tblGrid>
      <w:tr w:rsidR="00440A5B" w:rsidRPr="00937DD8" w14:paraId="630C39EF" w14:textId="77777777" w:rsidTr="00781A08">
        <w:trPr>
          <w:trHeight w:val="292"/>
        </w:trPr>
        <w:tc>
          <w:tcPr>
            <w:tcW w:w="5247" w:type="dxa"/>
            <w:gridSpan w:val="2"/>
            <w:tcBorders>
              <w:top w:val="nil"/>
              <w:left w:val="nil"/>
              <w:bottom w:val="single" w:sz="4" w:space="0" w:color="auto"/>
              <w:right w:val="single" w:sz="4" w:space="0" w:color="auto"/>
            </w:tcBorders>
            <w:shd w:val="clear" w:color="auto" w:fill="BFBFBF" w:themeFill="background1" w:themeFillShade="BF"/>
            <w:noWrap/>
            <w:vAlign w:val="bottom"/>
            <w:hideMark/>
          </w:tcPr>
          <w:p w14:paraId="635AEF0E" w14:textId="61D8F1F3" w:rsidR="00440A5B" w:rsidRPr="005368CA" w:rsidRDefault="00440A5B" w:rsidP="006F5F60">
            <w:pPr>
              <w:rPr>
                <w:rFonts w:ascii="Calibri" w:hAnsi="Calibri" w:cs="Calibri"/>
                <w:color w:val="2E74B5"/>
                <w:lang w:eastAsia="it-IT"/>
              </w:rPr>
            </w:pPr>
            <w:r w:rsidRPr="005368CA">
              <w:rPr>
                <w:rFonts w:ascii="Calibri" w:hAnsi="Calibri" w:cs="Calibri"/>
                <w:color w:val="2E74B5"/>
                <w:lang w:eastAsia="it-IT"/>
              </w:rPr>
              <w:t> </w:t>
            </w:r>
          </w:p>
        </w:tc>
        <w:tc>
          <w:tcPr>
            <w:tcW w:w="100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291E9D1" w14:textId="77777777" w:rsidR="00440A5B" w:rsidRPr="00C872F7" w:rsidRDefault="00440A5B" w:rsidP="006F5F60">
            <w:pPr>
              <w:jc w:val="center"/>
              <w:rPr>
                <w:rFonts w:ascii="Calibri" w:hAnsi="Calibri" w:cs="Calibri"/>
                <w:b/>
                <w:bCs/>
                <w:sz w:val="18"/>
                <w:szCs w:val="18"/>
                <w:lang w:eastAsia="it-IT"/>
              </w:rPr>
            </w:pPr>
            <w:r w:rsidRPr="00C872F7">
              <w:rPr>
                <w:rFonts w:ascii="Calibri" w:hAnsi="Calibri" w:cs="Calibri"/>
                <w:b/>
                <w:bCs/>
                <w:sz w:val="18"/>
                <w:szCs w:val="18"/>
                <w:lang w:eastAsia="it-IT"/>
              </w:rPr>
              <w:t>Dirigenti</w:t>
            </w:r>
          </w:p>
        </w:tc>
        <w:tc>
          <w:tcPr>
            <w:tcW w:w="100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2C3C8D3" w14:textId="77777777" w:rsidR="00440A5B" w:rsidRPr="00C872F7" w:rsidRDefault="00440A5B" w:rsidP="006F5F60">
            <w:pPr>
              <w:jc w:val="center"/>
              <w:rPr>
                <w:rFonts w:ascii="Calibri" w:hAnsi="Calibri" w:cs="Calibri"/>
                <w:b/>
                <w:bCs/>
                <w:sz w:val="18"/>
                <w:szCs w:val="18"/>
                <w:lang w:eastAsia="it-IT"/>
              </w:rPr>
            </w:pPr>
            <w:r w:rsidRPr="00C872F7">
              <w:rPr>
                <w:rFonts w:ascii="Calibri" w:hAnsi="Calibri" w:cs="Calibri"/>
                <w:b/>
                <w:bCs/>
                <w:sz w:val="18"/>
                <w:szCs w:val="18"/>
                <w:lang w:eastAsia="it-IT"/>
              </w:rPr>
              <w:t>Quadri</w:t>
            </w:r>
          </w:p>
        </w:tc>
        <w:tc>
          <w:tcPr>
            <w:tcW w:w="100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BFC0E95" w14:textId="77777777" w:rsidR="00440A5B" w:rsidRPr="00C872F7" w:rsidRDefault="00440A5B" w:rsidP="006F5F60">
            <w:pPr>
              <w:jc w:val="center"/>
              <w:rPr>
                <w:rFonts w:ascii="Calibri" w:hAnsi="Calibri" w:cs="Calibri"/>
                <w:b/>
                <w:bCs/>
                <w:sz w:val="18"/>
                <w:szCs w:val="18"/>
                <w:lang w:eastAsia="it-IT"/>
              </w:rPr>
            </w:pPr>
            <w:r w:rsidRPr="00C872F7">
              <w:rPr>
                <w:rFonts w:ascii="Calibri" w:hAnsi="Calibri" w:cs="Calibri"/>
                <w:b/>
                <w:bCs/>
                <w:sz w:val="18"/>
                <w:szCs w:val="18"/>
                <w:lang w:eastAsia="it-IT"/>
              </w:rPr>
              <w:t>Impiegati</w:t>
            </w:r>
          </w:p>
        </w:tc>
        <w:tc>
          <w:tcPr>
            <w:tcW w:w="100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FC8525B" w14:textId="77777777" w:rsidR="00440A5B" w:rsidRPr="00C872F7" w:rsidRDefault="00440A5B" w:rsidP="006F5F60">
            <w:pPr>
              <w:jc w:val="center"/>
              <w:rPr>
                <w:rFonts w:ascii="Calibri" w:hAnsi="Calibri" w:cs="Calibri"/>
                <w:b/>
                <w:bCs/>
                <w:sz w:val="18"/>
                <w:szCs w:val="18"/>
                <w:lang w:eastAsia="it-IT"/>
              </w:rPr>
            </w:pPr>
            <w:r w:rsidRPr="00C872F7">
              <w:rPr>
                <w:rFonts w:ascii="Calibri" w:hAnsi="Calibri" w:cs="Calibri"/>
                <w:b/>
                <w:bCs/>
                <w:sz w:val="18"/>
                <w:szCs w:val="18"/>
                <w:lang w:eastAsia="it-IT"/>
              </w:rPr>
              <w:t>Totale</w:t>
            </w:r>
          </w:p>
        </w:tc>
      </w:tr>
      <w:tr w:rsidR="00440A5B" w:rsidRPr="00937DD8" w14:paraId="533B1C93" w14:textId="77777777" w:rsidTr="00781A08">
        <w:trPr>
          <w:trHeight w:val="412"/>
        </w:trPr>
        <w:tc>
          <w:tcPr>
            <w:tcW w:w="1008" w:type="dxa"/>
            <w:tcBorders>
              <w:top w:val="single" w:sz="4" w:space="0" w:color="auto"/>
              <w:left w:val="single" w:sz="4" w:space="0" w:color="auto"/>
              <w:bottom w:val="single" w:sz="4" w:space="0" w:color="auto"/>
              <w:right w:val="single" w:sz="4" w:space="0" w:color="auto"/>
            </w:tcBorders>
            <w:shd w:val="clear" w:color="auto" w:fill="BFBFBF" w:themeFill="background1" w:themeFillShade="BF"/>
            <w:textDirection w:val="btLr"/>
            <w:vAlign w:val="center"/>
            <w:hideMark/>
          </w:tcPr>
          <w:p w14:paraId="67176D99" w14:textId="20899198" w:rsidR="00440A5B" w:rsidRPr="00C872F7" w:rsidRDefault="00440A5B" w:rsidP="006F5F60">
            <w:pPr>
              <w:jc w:val="center"/>
              <w:rPr>
                <w:rFonts w:ascii="Calibri" w:hAnsi="Calibri" w:cs="Calibri"/>
                <w:b/>
                <w:bCs/>
                <w:sz w:val="18"/>
                <w:szCs w:val="18"/>
                <w:lang w:eastAsia="it-IT"/>
              </w:rPr>
            </w:pPr>
            <w:r w:rsidRPr="00C872F7">
              <w:rPr>
                <w:rFonts w:ascii="Calibri" w:hAnsi="Calibri" w:cs="Calibri"/>
                <w:b/>
                <w:bCs/>
                <w:sz w:val="18"/>
                <w:szCs w:val="18"/>
                <w:lang w:eastAsia="it-IT"/>
              </w:rPr>
              <w:t>2020</w:t>
            </w:r>
          </w:p>
        </w:tc>
        <w:tc>
          <w:tcPr>
            <w:tcW w:w="423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8D47661" w14:textId="1734757C" w:rsidR="00440A5B" w:rsidRPr="00C872F7" w:rsidRDefault="00440A5B" w:rsidP="006F5F60">
            <w:pPr>
              <w:jc w:val="right"/>
              <w:rPr>
                <w:rFonts w:ascii="Calibri" w:hAnsi="Calibri" w:cs="Calibri"/>
                <w:b/>
                <w:bCs/>
                <w:sz w:val="18"/>
                <w:szCs w:val="18"/>
                <w:lang w:eastAsia="it-IT"/>
              </w:rPr>
            </w:pPr>
            <w:r w:rsidRPr="00C872F7">
              <w:rPr>
                <w:rFonts w:ascii="Calibri" w:hAnsi="Calibri" w:cs="Calibri"/>
                <w:b/>
                <w:bCs/>
                <w:sz w:val="18"/>
                <w:szCs w:val="18"/>
                <w:lang w:eastAsia="it-IT"/>
              </w:rPr>
              <w:t>Personale della Segreteria Tecnico - Operativa</w:t>
            </w:r>
          </w:p>
        </w:tc>
        <w:tc>
          <w:tcPr>
            <w:tcW w:w="100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hideMark/>
          </w:tcPr>
          <w:p w14:paraId="59CE1B03" w14:textId="77777777" w:rsidR="00440A5B" w:rsidRPr="009107BA" w:rsidRDefault="00440A5B" w:rsidP="006F5F60">
            <w:pPr>
              <w:jc w:val="center"/>
              <w:rPr>
                <w:rFonts w:ascii="Calibri" w:hAnsi="Calibri" w:cs="Calibri"/>
                <w:bCs/>
                <w:sz w:val="18"/>
                <w:szCs w:val="18"/>
                <w:lang w:eastAsia="it-IT"/>
              </w:rPr>
            </w:pPr>
            <w:r w:rsidRPr="009107BA">
              <w:rPr>
                <w:rFonts w:ascii="Calibri" w:hAnsi="Calibri" w:cs="Calibri"/>
                <w:bCs/>
                <w:sz w:val="18"/>
                <w:szCs w:val="18"/>
                <w:lang w:eastAsia="it-IT"/>
              </w:rPr>
              <w:t>6***</w:t>
            </w:r>
          </w:p>
        </w:tc>
        <w:tc>
          <w:tcPr>
            <w:tcW w:w="100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hideMark/>
          </w:tcPr>
          <w:p w14:paraId="52EF2FA2" w14:textId="77777777" w:rsidR="00440A5B" w:rsidRPr="009107BA" w:rsidRDefault="00440A5B" w:rsidP="006F5F60">
            <w:pPr>
              <w:jc w:val="center"/>
              <w:rPr>
                <w:rFonts w:ascii="Calibri" w:hAnsi="Calibri" w:cs="Calibri"/>
                <w:bCs/>
                <w:sz w:val="18"/>
                <w:szCs w:val="18"/>
                <w:lang w:eastAsia="it-IT"/>
              </w:rPr>
            </w:pPr>
            <w:r w:rsidRPr="009107BA">
              <w:rPr>
                <w:rFonts w:ascii="Calibri" w:hAnsi="Calibri" w:cs="Calibri"/>
                <w:bCs/>
                <w:sz w:val="18"/>
                <w:szCs w:val="18"/>
                <w:lang w:eastAsia="it-IT"/>
              </w:rPr>
              <w:t>25</w:t>
            </w:r>
          </w:p>
        </w:tc>
        <w:tc>
          <w:tcPr>
            <w:tcW w:w="100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hideMark/>
          </w:tcPr>
          <w:p w14:paraId="3D03491F" w14:textId="77777777" w:rsidR="00440A5B" w:rsidRPr="009107BA" w:rsidRDefault="00440A5B" w:rsidP="006F5F60">
            <w:pPr>
              <w:jc w:val="center"/>
              <w:rPr>
                <w:rFonts w:ascii="Calibri" w:hAnsi="Calibri" w:cs="Calibri"/>
                <w:bCs/>
                <w:sz w:val="18"/>
                <w:szCs w:val="18"/>
                <w:lang w:eastAsia="it-IT"/>
              </w:rPr>
            </w:pPr>
            <w:r w:rsidRPr="009107BA">
              <w:rPr>
                <w:rFonts w:ascii="Calibri" w:hAnsi="Calibri" w:cs="Calibri"/>
                <w:bCs/>
                <w:sz w:val="18"/>
                <w:szCs w:val="18"/>
                <w:lang w:eastAsia="it-IT"/>
              </w:rPr>
              <w:t>55</w:t>
            </w:r>
          </w:p>
        </w:tc>
        <w:tc>
          <w:tcPr>
            <w:tcW w:w="100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hideMark/>
          </w:tcPr>
          <w:p w14:paraId="4218F9FC" w14:textId="77777777" w:rsidR="00440A5B" w:rsidRPr="009107BA" w:rsidRDefault="00440A5B" w:rsidP="006F5F60">
            <w:pPr>
              <w:jc w:val="center"/>
              <w:rPr>
                <w:rFonts w:ascii="Calibri" w:hAnsi="Calibri" w:cs="Calibri"/>
                <w:bCs/>
                <w:sz w:val="18"/>
                <w:szCs w:val="18"/>
                <w:lang w:eastAsia="it-IT"/>
              </w:rPr>
            </w:pPr>
            <w:r w:rsidRPr="009107BA">
              <w:rPr>
                <w:rFonts w:ascii="Calibri" w:hAnsi="Calibri" w:cs="Calibri"/>
                <w:bCs/>
                <w:sz w:val="18"/>
                <w:szCs w:val="18"/>
                <w:lang w:eastAsia="it-IT"/>
              </w:rPr>
              <w:t>86</w:t>
            </w:r>
          </w:p>
        </w:tc>
      </w:tr>
      <w:tr w:rsidR="00440A5B" w:rsidRPr="00937DD8" w14:paraId="55491A11" w14:textId="77777777" w:rsidTr="00781A08">
        <w:trPr>
          <w:trHeight w:val="279"/>
        </w:trPr>
        <w:tc>
          <w:tcPr>
            <w:tcW w:w="1008" w:type="dxa"/>
            <w:vMerge w:val="restart"/>
            <w:tcBorders>
              <w:top w:val="single" w:sz="4" w:space="0" w:color="auto"/>
              <w:left w:val="single" w:sz="4" w:space="0" w:color="auto"/>
              <w:bottom w:val="single" w:sz="4" w:space="0" w:color="C00000"/>
              <w:right w:val="single" w:sz="4" w:space="0" w:color="auto"/>
            </w:tcBorders>
            <w:shd w:val="clear" w:color="auto" w:fill="BFBFBF" w:themeFill="background1" w:themeFillShade="BF"/>
            <w:textDirection w:val="btLr"/>
            <w:vAlign w:val="center"/>
            <w:hideMark/>
          </w:tcPr>
          <w:p w14:paraId="1DC4200D" w14:textId="5E1CFEE5" w:rsidR="00440A5B" w:rsidRPr="00C872F7" w:rsidRDefault="00440A5B" w:rsidP="006F5F60">
            <w:pPr>
              <w:jc w:val="center"/>
              <w:rPr>
                <w:rFonts w:ascii="Calibri" w:hAnsi="Calibri" w:cs="Calibri"/>
                <w:b/>
                <w:bCs/>
                <w:sz w:val="18"/>
                <w:szCs w:val="18"/>
                <w:lang w:eastAsia="it-IT"/>
              </w:rPr>
            </w:pPr>
            <w:r w:rsidRPr="00C872F7">
              <w:rPr>
                <w:rFonts w:ascii="Calibri" w:hAnsi="Calibri" w:cs="Calibri"/>
                <w:b/>
                <w:bCs/>
                <w:sz w:val="18"/>
                <w:szCs w:val="18"/>
                <w:lang w:eastAsia="it-IT"/>
              </w:rPr>
              <w:t>2021</w:t>
            </w:r>
          </w:p>
        </w:tc>
        <w:tc>
          <w:tcPr>
            <w:tcW w:w="423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hideMark/>
          </w:tcPr>
          <w:p w14:paraId="080E54BD" w14:textId="0A8A8058" w:rsidR="00440A5B" w:rsidRPr="00C872F7" w:rsidRDefault="00440A5B" w:rsidP="006F5F60">
            <w:pPr>
              <w:jc w:val="right"/>
              <w:rPr>
                <w:rFonts w:ascii="Calibri" w:hAnsi="Calibri" w:cs="Calibri"/>
                <w:b/>
                <w:bCs/>
                <w:sz w:val="18"/>
                <w:szCs w:val="18"/>
                <w:lang w:eastAsia="it-IT"/>
              </w:rPr>
            </w:pPr>
            <w:r w:rsidRPr="00C872F7">
              <w:rPr>
                <w:rFonts w:ascii="Calibri" w:hAnsi="Calibri" w:cs="Calibri"/>
                <w:b/>
                <w:bCs/>
                <w:sz w:val="18"/>
                <w:szCs w:val="18"/>
                <w:lang w:eastAsia="it-IT"/>
              </w:rPr>
              <w:t xml:space="preserve">Cessazioni </w:t>
            </w:r>
          </w:p>
        </w:tc>
        <w:tc>
          <w:tcPr>
            <w:tcW w:w="100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hideMark/>
          </w:tcPr>
          <w:p w14:paraId="28D58B1D" w14:textId="77777777" w:rsidR="00440A5B" w:rsidRPr="009107BA" w:rsidRDefault="00440A5B" w:rsidP="006F5F60">
            <w:pPr>
              <w:jc w:val="center"/>
              <w:rPr>
                <w:rFonts w:ascii="Calibri" w:hAnsi="Calibri" w:cs="Calibri"/>
                <w:bCs/>
                <w:sz w:val="18"/>
                <w:szCs w:val="18"/>
                <w:lang w:eastAsia="it-IT"/>
              </w:rPr>
            </w:pPr>
            <w:r w:rsidRPr="009107BA">
              <w:rPr>
                <w:rFonts w:ascii="Calibri" w:hAnsi="Calibri" w:cs="Calibri"/>
                <w:bCs/>
                <w:sz w:val="18"/>
                <w:szCs w:val="18"/>
                <w:lang w:eastAsia="it-IT"/>
              </w:rPr>
              <w:t>-3***</w:t>
            </w:r>
          </w:p>
        </w:tc>
        <w:tc>
          <w:tcPr>
            <w:tcW w:w="100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hideMark/>
          </w:tcPr>
          <w:p w14:paraId="234690B5" w14:textId="77777777" w:rsidR="00440A5B" w:rsidRPr="009107BA" w:rsidRDefault="00440A5B" w:rsidP="006F5F60">
            <w:pPr>
              <w:jc w:val="center"/>
              <w:rPr>
                <w:rFonts w:ascii="Calibri" w:hAnsi="Calibri" w:cs="Calibri"/>
                <w:bCs/>
                <w:sz w:val="18"/>
                <w:szCs w:val="18"/>
                <w:lang w:eastAsia="it-IT"/>
              </w:rPr>
            </w:pPr>
            <w:r w:rsidRPr="009107BA">
              <w:rPr>
                <w:rFonts w:ascii="Calibri" w:hAnsi="Calibri" w:cs="Calibri"/>
                <w:bCs/>
                <w:sz w:val="18"/>
                <w:szCs w:val="18"/>
                <w:lang w:eastAsia="it-IT"/>
              </w:rPr>
              <w:t>-1</w:t>
            </w:r>
          </w:p>
        </w:tc>
        <w:tc>
          <w:tcPr>
            <w:tcW w:w="100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hideMark/>
          </w:tcPr>
          <w:p w14:paraId="652A39EE" w14:textId="77777777" w:rsidR="00440A5B" w:rsidRPr="009107BA" w:rsidRDefault="00440A5B" w:rsidP="006F5F60">
            <w:pPr>
              <w:jc w:val="center"/>
              <w:rPr>
                <w:rFonts w:ascii="Calibri" w:hAnsi="Calibri" w:cs="Calibri"/>
                <w:bCs/>
                <w:sz w:val="18"/>
                <w:szCs w:val="18"/>
                <w:lang w:eastAsia="it-IT"/>
              </w:rPr>
            </w:pPr>
            <w:r w:rsidRPr="009107BA">
              <w:rPr>
                <w:rFonts w:ascii="Calibri" w:hAnsi="Calibri" w:cs="Calibri"/>
                <w:bCs/>
                <w:sz w:val="18"/>
                <w:szCs w:val="18"/>
                <w:lang w:eastAsia="it-IT"/>
              </w:rPr>
              <w:t>-1</w:t>
            </w:r>
          </w:p>
        </w:tc>
        <w:tc>
          <w:tcPr>
            <w:tcW w:w="100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hideMark/>
          </w:tcPr>
          <w:p w14:paraId="1FFD58EC" w14:textId="77777777" w:rsidR="00440A5B" w:rsidRPr="009107BA" w:rsidRDefault="00440A5B" w:rsidP="006F5F60">
            <w:pPr>
              <w:jc w:val="center"/>
              <w:rPr>
                <w:rFonts w:ascii="Calibri" w:hAnsi="Calibri" w:cs="Calibri"/>
                <w:bCs/>
                <w:sz w:val="18"/>
                <w:szCs w:val="18"/>
                <w:lang w:eastAsia="it-IT"/>
              </w:rPr>
            </w:pPr>
            <w:r w:rsidRPr="009107BA">
              <w:rPr>
                <w:rFonts w:ascii="Calibri" w:hAnsi="Calibri" w:cs="Calibri"/>
                <w:bCs/>
                <w:sz w:val="18"/>
                <w:szCs w:val="18"/>
                <w:lang w:eastAsia="it-IT"/>
              </w:rPr>
              <w:t>-5</w:t>
            </w:r>
          </w:p>
        </w:tc>
      </w:tr>
      <w:tr w:rsidR="00440A5B" w:rsidRPr="00937DD8" w14:paraId="29CE4346" w14:textId="77777777" w:rsidTr="00781A08">
        <w:trPr>
          <w:trHeight w:val="279"/>
        </w:trPr>
        <w:tc>
          <w:tcPr>
            <w:tcW w:w="1008" w:type="dxa"/>
            <w:vMerge/>
            <w:tcBorders>
              <w:top w:val="single" w:sz="4" w:space="0" w:color="C00000"/>
              <w:left w:val="single" w:sz="4" w:space="0" w:color="auto"/>
              <w:bottom w:val="single" w:sz="4" w:space="0" w:color="C00000"/>
              <w:right w:val="single" w:sz="4" w:space="0" w:color="auto"/>
            </w:tcBorders>
            <w:shd w:val="clear" w:color="auto" w:fill="BFBFBF" w:themeFill="background1" w:themeFillShade="BF"/>
            <w:vAlign w:val="center"/>
            <w:hideMark/>
          </w:tcPr>
          <w:p w14:paraId="7079F130" w14:textId="77777777" w:rsidR="00440A5B" w:rsidRPr="005368CA" w:rsidRDefault="00440A5B" w:rsidP="006F5F60">
            <w:pPr>
              <w:rPr>
                <w:rFonts w:ascii="Calibri" w:hAnsi="Calibri" w:cs="Calibri"/>
                <w:b/>
                <w:bCs/>
                <w:color w:val="2E74B5"/>
                <w:sz w:val="18"/>
                <w:szCs w:val="18"/>
                <w:lang w:eastAsia="it-IT"/>
              </w:rPr>
            </w:pPr>
          </w:p>
        </w:tc>
        <w:tc>
          <w:tcPr>
            <w:tcW w:w="423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hideMark/>
          </w:tcPr>
          <w:p w14:paraId="1126B7AD" w14:textId="086FC8B7" w:rsidR="00440A5B" w:rsidRPr="00C872F7" w:rsidRDefault="00440A5B" w:rsidP="006F5F60">
            <w:pPr>
              <w:jc w:val="right"/>
              <w:rPr>
                <w:rFonts w:ascii="Calibri" w:hAnsi="Calibri" w:cs="Calibri"/>
                <w:b/>
                <w:bCs/>
                <w:sz w:val="18"/>
                <w:szCs w:val="18"/>
                <w:lang w:eastAsia="it-IT"/>
              </w:rPr>
            </w:pPr>
            <w:r w:rsidRPr="00C872F7">
              <w:rPr>
                <w:rFonts w:ascii="Calibri" w:hAnsi="Calibri" w:cs="Calibri"/>
                <w:b/>
                <w:bCs/>
                <w:sz w:val="18"/>
                <w:szCs w:val="18"/>
                <w:lang w:eastAsia="it-IT"/>
              </w:rPr>
              <w:t>Assunzioni/trasformazioni</w:t>
            </w:r>
          </w:p>
        </w:tc>
        <w:tc>
          <w:tcPr>
            <w:tcW w:w="100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hideMark/>
          </w:tcPr>
          <w:p w14:paraId="1561176E" w14:textId="77777777" w:rsidR="00440A5B" w:rsidRPr="009107BA" w:rsidRDefault="00440A5B" w:rsidP="006F5F60">
            <w:pPr>
              <w:jc w:val="center"/>
              <w:rPr>
                <w:rFonts w:ascii="Calibri" w:hAnsi="Calibri" w:cs="Calibri"/>
                <w:bCs/>
                <w:sz w:val="18"/>
                <w:szCs w:val="18"/>
                <w:lang w:eastAsia="it-IT"/>
              </w:rPr>
            </w:pPr>
            <w:r w:rsidRPr="009107BA">
              <w:rPr>
                <w:rFonts w:ascii="Calibri" w:hAnsi="Calibri" w:cs="Calibri"/>
                <w:bCs/>
                <w:sz w:val="18"/>
                <w:szCs w:val="18"/>
                <w:lang w:eastAsia="it-IT"/>
              </w:rPr>
              <w:t>2</w:t>
            </w:r>
          </w:p>
        </w:tc>
        <w:tc>
          <w:tcPr>
            <w:tcW w:w="100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hideMark/>
          </w:tcPr>
          <w:p w14:paraId="48CC978D" w14:textId="77777777" w:rsidR="00440A5B" w:rsidRPr="009107BA" w:rsidRDefault="00440A5B" w:rsidP="006F5F60">
            <w:pPr>
              <w:jc w:val="center"/>
              <w:rPr>
                <w:rFonts w:ascii="Calibri" w:hAnsi="Calibri" w:cs="Calibri"/>
                <w:bCs/>
                <w:sz w:val="18"/>
                <w:szCs w:val="18"/>
                <w:lang w:eastAsia="it-IT"/>
              </w:rPr>
            </w:pPr>
            <w:r w:rsidRPr="009107BA">
              <w:rPr>
                <w:rFonts w:ascii="Calibri" w:hAnsi="Calibri" w:cs="Calibri"/>
                <w:bCs/>
                <w:sz w:val="18"/>
                <w:szCs w:val="18"/>
                <w:lang w:eastAsia="it-IT"/>
              </w:rPr>
              <w:t>0</w:t>
            </w:r>
          </w:p>
        </w:tc>
        <w:tc>
          <w:tcPr>
            <w:tcW w:w="100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hideMark/>
          </w:tcPr>
          <w:p w14:paraId="6BDEC5BA" w14:textId="77777777" w:rsidR="00440A5B" w:rsidRPr="009107BA" w:rsidRDefault="00440A5B" w:rsidP="006F5F60">
            <w:pPr>
              <w:jc w:val="center"/>
              <w:rPr>
                <w:rFonts w:ascii="Calibri" w:hAnsi="Calibri" w:cs="Calibri"/>
                <w:bCs/>
                <w:sz w:val="18"/>
                <w:szCs w:val="18"/>
                <w:lang w:eastAsia="it-IT"/>
              </w:rPr>
            </w:pPr>
            <w:r w:rsidRPr="009107BA">
              <w:rPr>
                <w:rFonts w:ascii="Calibri" w:hAnsi="Calibri" w:cs="Calibri"/>
                <w:bCs/>
                <w:sz w:val="18"/>
                <w:szCs w:val="18"/>
                <w:lang w:eastAsia="it-IT"/>
              </w:rPr>
              <w:t>2</w:t>
            </w:r>
          </w:p>
        </w:tc>
        <w:tc>
          <w:tcPr>
            <w:tcW w:w="100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hideMark/>
          </w:tcPr>
          <w:p w14:paraId="5C5451AD" w14:textId="77777777" w:rsidR="00440A5B" w:rsidRPr="009107BA" w:rsidRDefault="00440A5B" w:rsidP="006F5F60">
            <w:pPr>
              <w:jc w:val="center"/>
              <w:rPr>
                <w:rFonts w:ascii="Calibri" w:hAnsi="Calibri" w:cs="Calibri"/>
                <w:bCs/>
                <w:sz w:val="18"/>
                <w:szCs w:val="18"/>
                <w:lang w:eastAsia="it-IT"/>
              </w:rPr>
            </w:pPr>
            <w:r w:rsidRPr="009107BA">
              <w:rPr>
                <w:rFonts w:ascii="Calibri" w:hAnsi="Calibri" w:cs="Calibri"/>
                <w:bCs/>
                <w:sz w:val="18"/>
                <w:szCs w:val="18"/>
                <w:lang w:eastAsia="it-IT"/>
              </w:rPr>
              <w:t>4</w:t>
            </w:r>
          </w:p>
        </w:tc>
      </w:tr>
      <w:tr w:rsidR="00440A5B" w:rsidRPr="00937DD8" w14:paraId="6E8A3AD9" w14:textId="77777777" w:rsidTr="00781A08">
        <w:trPr>
          <w:trHeight w:val="279"/>
        </w:trPr>
        <w:tc>
          <w:tcPr>
            <w:tcW w:w="1008" w:type="dxa"/>
            <w:vMerge/>
            <w:tcBorders>
              <w:top w:val="single" w:sz="4" w:space="0" w:color="C00000"/>
              <w:left w:val="single" w:sz="4" w:space="0" w:color="auto"/>
              <w:bottom w:val="single" w:sz="4" w:space="0" w:color="C00000"/>
              <w:right w:val="single" w:sz="4" w:space="0" w:color="auto"/>
            </w:tcBorders>
            <w:shd w:val="clear" w:color="auto" w:fill="BFBFBF" w:themeFill="background1" w:themeFillShade="BF"/>
            <w:vAlign w:val="center"/>
            <w:hideMark/>
          </w:tcPr>
          <w:p w14:paraId="68F79DB5" w14:textId="77777777" w:rsidR="00440A5B" w:rsidRPr="005368CA" w:rsidRDefault="00440A5B" w:rsidP="006F5F60">
            <w:pPr>
              <w:rPr>
                <w:rFonts w:ascii="Calibri" w:hAnsi="Calibri" w:cs="Calibri"/>
                <w:b/>
                <w:bCs/>
                <w:color w:val="2E74B5"/>
                <w:sz w:val="18"/>
                <w:szCs w:val="18"/>
                <w:lang w:eastAsia="it-IT"/>
              </w:rPr>
            </w:pPr>
          </w:p>
        </w:tc>
        <w:tc>
          <w:tcPr>
            <w:tcW w:w="423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hideMark/>
          </w:tcPr>
          <w:p w14:paraId="7E6A1B51" w14:textId="0E070218" w:rsidR="00440A5B" w:rsidRPr="00C872F7" w:rsidRDefault="00440A5B" w:rsidP="006F5F60">
            <w:pPr>
              <w:jc w:val="right"/>
              <w:rPr>
                <w:rFonts w:ascii="Calibri" w:hAnsi="Calibri" w:cs="Calibri"/>
                <w:b/>
                <w:bCs/>
                <w:sz w:val="18"/>
                <w:szCs w:val="18"/>
                <w:lang w:eastAsia="it-IT"/>
              </w:rPr>
            </w:pPr>
            <w:r w:rsidRPr="00C872F7">
              <w:rPr>
                <w:rFonts w:ascii="Calibri" w:hAnsi="Calibri" w:cs="Calibri"/>
                <w:b/>
                <w:bCs/>
                <w:sz w:val="18"/>
                <w:szCs w:val="18"/>
                <w:lang w:eastAsia="it-IT"/>
              </w:rPr>
              <w:t>Passaggi di livello</w:t>
            </w:r>
          </w:p>
        </w:tc>
        <w:tc>
          <w:tcPr>
            <w:tcW w:w="100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hideMark/>
          </w:tcPr>
          <w:p w14:paraId="47A6E837" w14:textId="77777777" w:rsidR="00440A5B" w:rsidRPr="009107BA" w:rsidRDefault="00440A5B" w:rsidP="006F5F60">
            <w:pPr>
              <w:jc w:val="center"/>
              <w:rPr>
                <w:rFonts w:ascii="Calibri" w:hAnsi="Calibri" w:cs="Calibri"/>
                <w:bCs/>
                <w:sz w:val="18"/>
                <w:szCs w:val="18"/>
                <w:lang w:eastAsia="it-IT"/>
              </w:rPr>
            </w:pPr>
            <w:r w:rsidRPr="009107BA">
              <w:rPr>
                <w:rFonts w:ascii="Calibri" w:hAnsi="Calibri" w:cs="Calibri"/>
                <w:bCs/>
                <w:sz w:val="18"/>
                <w:szCs w:val="18"/>
                <w:lang w:eastAsia="it-IT"/>
              </w:rPr>
              <w:t>0</w:t>
            </w:r>
          </w:p>
        </w:tc>
        <w:tc>
          <w:tcPr>
            <w:tcW w:w="100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hideMark/>
          </w:tcPr>
          <w:p w14:paraId="69274E22" w14:textId="77777777" w:rsidR="00440A5B" w:rsidRPr="009107BA" w:rsidRDefault="00440A5B" w:rsidP="006F5F60">
            <w:pPr>
              <w:jc w:val="center"/>
              <w:rPr>
                <w:rFonts w:ascii="Calibri" w:hAnsi="Calibri" w:cs="Calibri"/>
                <w:bCs/>
                <w:sz w:val="18"/>
                <w:szCs w:val="18"/>
                <w:lang w:eastAsia="it-IT"/>
              </w:rPr>
            </w:pPr>
            <w:r w:rsidRPr="009107BA">
              <w:rPr>
                <w:rFonts w:ascii="Calibri" w:hAnsi="Calibri" w:cs="Calibri"/>
                <w:bCs/>
                <w:sz w:val="18"/>
                <w:szCs w:val="18"/>
                <w:lang w:eastAsia="it-IT"/>
              </w:rPr>
              <w:t>0</w:t>
            </w:r>
          </w:p>
        </w:tc>
        <w:tc>
          <w:tcPr>
            <w:tcW w:w="100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hideMark/>
          </w:tcPr>
          <w:p w14:paraId="23ED6B7C" w14:textId="77777777" w:rsidR="00440A5B" w:rsidRPr="009107BA" w:rsidRDefault="00440A5B" w:rsidP="006F5F60">
            <w:pPr>
              <w:jc w:val="center"/>
              <w:rPr>
                <w:rFonts w:ascii="Calibri" w:hAnsi="Calibri" w:cs="Calibri"/>
                <w:bCs/>
                <w:sz w:val="18"/>
                <w:szCs w:val="18"/>
                <w:lang w:eastAsia="it-IT"/>
              </w:rPr>
            </w:pPr>
            <w:r w:rsidRPr="009107BA">
              <w:rPr>
                <w:rFonts w:ascii="Calibri" w:hAnsi="Calibri" w:cs="Calibri"/>
                <w:bCs/>
                <w:sz w:val="18"/>
                <w:szCs w:val="18"/>
                <w:lang w:eastAsia="it-IT"/>
              </w:rPr>
              <w:t>0</w:t>
            </w:r>
          </w:p>
        </w:tc>
        <w:tc>
          <w:tcPr>
            <w:tcW w:w="100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hideMark/>
          </w:tcPr>
          <w:p w14:paraId="6641348F" w14:textId="77777777" w:rsidR="00440A5B" w:rsidRPr="009107BA" w:rsidRDefault="00440A5B" w:rsidP="006F5F60">
            <w:pPr>
              <w:jc w:val="center"/>
              <w:rPr>
                <w:rFonts w:ascii="Calibri" w:hAnsi="Calibri" w:cs="Calibri"/>
                <w:bCs/>
                <w:sz w:val="18"/>
                <w:szCs w:val="18"/>
                <w:lang w:eastAsia="it-IT"/>
              </w:rPr>
            </w:pPr>
            <w:r w:rsidRPr="009107BA">
              <w:rPr>
                <w:rFonts w:ascii="Calibri" w:hAnsi="Calibri" w:cs="Calibri"/>
                <w:bCs/>
                <w:sz w:val="18"/>
                <w:szCs w:val="18"/>
                <w:lang w:eastAsia="it-IT"/>
              </w:rPr>
              <w:t>0</w:t>
            </w:r>
          </w:p>
        </w:tc>
      </w:tr>
      <w:tr w:rsidR="00440A5B" w:rsidRPr="00937DD8" w14:paraId="057E236E" w14:textId="77777777" w:rsidTr="00781A08">
        <w:trPr>
          <w:trHeight w:val="292"/>
        </w:trPr>
        <w:tc>
          <w:tcPr>
            <w:tcW w:w="1008" w:type="dxa"/>
            <w:vMerge/>
            <w:tcBorders>
              <w:top w:val="single" w:sz="4" w:space="0" w:color="C00000"/>
              <w:left w:val="single" w:sz="4" w:space="0" w:color="auto"/>
              <w:bottom w:val="single" w:sz="4" w:space="0" w:color="auto"/>
              <w:right w:val="single" w:sz="4" w:space="0" w:color="auto"/>
            </w:tcBorders>
            <w:shd w:val="clear" w:color="auto" w:fill="BFBFBF" w:themeFill="background1" w:themeFillShade="BF"/>
            <w:vAlign w:val="center"/>
            <w:hideMark/>
          </w:tcPr>
          <w:p w14:paraId="48007C0F" w14:textId="77777777" w:rsidR="00440A5B" w:rsidRPr="005368CA" w:rsidRDefault="00440A5B" w:rsidP="006F5F60">
            <w:pPr>
              <w:rPr>
                <w:rFonts w:ascii="Calibri" w:hAnsi="Calibri" w:cs="Calibri"/>
                <w:b/>
                <w:bCs/>
                <w:color w:val="2E74B5"/>
                <w:sz w:val="18"/>
                <w:szCs w:val="18"/>
                <w:lang w:eastAsia="it-IT"/>
              </w:rPr>
            </w:pPr>
          </w:p>
        </w:tc>
        <w:tc>
          <w:tcPr>
            <w:tcW w:w="423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hideMark/>
          </w:tcPr>
          <w:p w14:paraId="55A43493" w14:textId="23D07554" w:rsidR="00440A5B" w:rsidRPr="00C872F7" w:rsidRDefault="00440A5B" w:rsidP="006F5F60">
            <w:pPr>
              <w:jc w:val="right"/>
              <w:rPr>
                <w:rFonts w:ascii="Calibri" w:hAnsi="Calibri" w:cs="Calibri"/>
                <w:b/>
                <w:bCs/>
                <w:sz w:val="18"/>
                <w:szCs w:val="18"/>
                <w:lang w:eastAsia="it-IT"/>
              </w:rPr>
            </w:pPr>
            <w:r w:rsidRPr="00C872F7">
              <w:rPr>
                <w:rFonts w:ascii="Calibri" w:hAnsi="Calibri" w:cs="Calibri"/>
                <w:b/>
                <w:bCs/>
                <w:sz w:val="18"/>
                <w:szCs w:val="18"/>
                <w:lang w:eastAsia="it-IT"/>
              </w:rPr>
              <w:t>Personale della Segreteria Tecnico - Operativa</w:t>
            </w:r>
          </w:p>
        </w:tc>
        <w:tc>
          <w:tcPr>
            <w:tcW w:w="100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hideMark/>
          </w:tcPr>
          <w:p w14:paraId="1781BF2D" w14:textId="77777777" w:rsidR="00440A5B" w:rsidRPr="009107BA" w:rsidRDefault="00440A5B" w:rsidP="006F5F60">
            <w:pPr>
              <w:jc w:val="center"/>
              <w:rPr>
                <w:rFonts w:ascii="Calibri" w:hAnsi="Calibri" w:cs="Calibri"/>
                <w:bCs/>
                <w:sz w:val="18"/>
                <w:szCs w:val="18"/>
                <w:lang w:eastAsia="it-IT"/>
              </w:rPr>
            </w:pPr>
            <w:r w:rsidRPr="009107BA">
              <w:rPr>
                <w:rFonts w:ascii="Calibri" w:hAnsi="Calibri" w:cs="Calibri"/>
                <w:bCs/>
                <w:sz w:val="18"/>
                <w:szCs w:val="18"/>
                <w:lang w:eastAsia="it-IT"/>
              </w:rPr>
              <w:t>5</w:t>
            </w:r>
          </w:p>
        </w:tc>
        <w:tc>
          <w:tcPr>
            <w:tcW w:w="100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hideMark/>
          </w:tcPr>
          <w:p w14:paraId="678FD7AB" w14:textId="77777777" w:rsidR="00440A5B" w:rsidRPr="009107BA" w:rsidRDefault="00440A5B" w:rsidP="006F5F60">
            <w:pPr>
              <w:jc w:val="center"/>
              <w:rPr>
                <w:rFonts w:ascii="Calibri" w:hAnsi="Calibri" w:cs="Calibri"/>
                <w:bCs/>
                <w:sz w:val="18"/>
                <w:szCs w:val="18"/>
                <w:lang w:eastAsia="it-IT"/>
              </w:rPr>
            </w:pPr>
            <w:r w:rsidRPr="009107BA">
              <w:rPr>
                <w:rFonts w:ascii="Calibri" w:hAnsi="Calibri" w:cs="Calibri"/>
                <w:bCs/>
                <w:sz w:val="18"/>
                <w:szCs w:val="18"/>
                <w:lang w:eastAsia="it-IT"/>
              </w:rPr>
              <w:t>24</w:t>
            </w:r>
          </w:p>
        </w:tc>
        <w:tc>
          <w:tcPr>
            <w:tcW w:w="100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hideMark/>
          </w:tcPr>
          <w:p w14:paraId="1451AF6A" w14:textId="77777777" w:rsidR="00440A5B" w:rsidRPr="009107BA" w:rsidRDefault="00440A5B" w:rsidP="006F5F60">
            <w:pPr>
              <w:jc w:val="center"/>
              <w:rPr>
                <w:rFonts w:ascii="Calibri" w:hAnsi="Calibri" w:cs="Calibri"/>
                <w:bCs/>
                <w:sz w:val="18"/>
                <w:szCs w:val="18"/>
                <w:lang w:eastAsia="it-IT"/>
              </w:rPr>
            </w:pPr>
            <w:r w:rsidRPr="009107BA">
              <w:rPr>
                <w:rFonts w:ascii="Calibri" w:hAnsi="Calibri" w:cs="Calibri"/>
                <w:bCs/>
                <w:sz w:val="18"/>
                <w:szCs w:val="18"/>
                <w:lang w:eastAsia="it-IT"/>
              </w:rPr>
              <w:t>56</w:t>
            </w:r>
          </w:p>
        </w:tc>
        <w:tc>
          <w:tcPr>
            <w:tcW w:w="100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hideMark/>
          </w:tcPr>
          <w:p w14:paraId="1CC32564" w14:textId="77777777" w:rsidR="00440A5B" w:rsidRPr="009107BA" w:rsidRDefault="00440A5B" w:rsidP="006F5F60">
            <w:pPr>
              <w:jc w:val="center"/>
              <w:rPr>
                <w:rFonts w:ascii="Calibri" w:hAnsi="Calibri" w:cs="Calibri"/>
                <w:bCs/>
                <w:sz w:val="18"/>
                <w:szCs w:val="18"/>
                <w:lang w:eastAsia="it-IT"/>
              </w:rPr>
            </w:pPr>
            <w:r w:rsidRPr="009107BA">
              <w:rPr>
                <w:rFonts w:ascii="Calibri" w:hAnsi="Calibri" w:cs="Calibri"/>
                <w:bCs/>
                <w:sz w:val="18"/>
                <w:szCs w:val="18"/>
                <w:lang w:eastAsia="it-IT"/>
              </w:rPr>
              <w:t>85</w:t>
            </w:r>
          </w:p>
        </w:tc>
      </w:tr>
      <w:tr w:rsidR="00440A5B" w:rsidRPr="00937DD8" w14:paraId="618D149C" w14:textId="77777777" w:rsidTr="006F5F60">
        <w:trPr>
          <w:trHeight w:val="279"/>
        </w:trPr>
        <w:tc>
          <w:tcPr>
            <w:tcW w:w="1008" w:type="dxa"/>
            <w:tcBorders>
              <w:top w:val="single" w:sz="4" w:space="0" w:color="auto"/>
              <w:left w:val="nil"/>
              <w:bottom w:val="nil"/>
              <w:right w:val="nil"/>
            </w:tcBorders>
            <w:shd w:val="clear" w:color="auto" w:fill="auto"/>
            <w:noWrap/>
            <w:vAlign w:val="bottom"/>
            <w:hideMark/>
          </w:tcPr>
          <w:p w14:paraId="5321EBFB" w14:textId="77777777" w:rsidR="00440A5B" w:rsidRPr="0059151E" w:rsidRDefault="00440A5B" w:rsidP="006F5F60">
            <w:pPr>
              <w:rPr>
                <w:rFonts w:ascii="Cambria" w:hAnsi="Cambria" w:cs="Calibri"/>
                <w:sz w:val="16"/>
                <w:szCs w:val="16"/>
                <w:lang w:eastAsia="it-IT"/>
              </w:rPr>
            </w:pPr>
            <w:r w:rsidRPr="0059151E">
              <w:rPr>
                <w:rFonts w:ascii="Cambria" w:hAnsi="Cambria" w:cs="Calibri"/>
                <w:sz w:val="16"/>
                <w:szCs w:val="16"/>
                <w:lang w:eastAsia="it-IT"/>
              </w:rPr>
              <w:t xml:space="preserve">N.B.: </w:t>
            </w:r>
          </w:p>
        </w:tc>
        <w:tc>
          <w:tcPr>
            <w:tcW w:w="4239" w:type="dxa"/>
            <w:tcBorders>
              <w:top w:val="single" w:sz="4" w:space="0" w:color="auto"/>
              <w:left w:val="nil"/>
              <w:bottom w:val="nil"/>
              <w:right w:val="nil"/>
            </w:tcBorders>
            <w:shd w:val="clear" w:color="auto" w:fill="auto"/>
            <w:vAlign w:val="bottom"/>
            <w:hideMark/>
          </w:tcPr>
          <w:p w14:paraId="5766DECA" w14:textId="4798ACCD" w:rsidR="00440A5B" w:rsidRPr="0059151E" w:rsidRDefault="00440A5B" w:rsidP="006F5F60">
            <w:pPr>
              <w:rPr>
                <w:rFonts w:ascii="Calibri" w:hAnsi="Calibri" w:cs="Calibri"/>
                <w:sz w:val="18"/>
                <w:szCs w:val="18"/>
                <w:lang w:eastAsia="it-IT"/>
              </w:rPr>
            </w:pPr>
            <w:r w:rsidRPr="0059151E">
              <w:rPr>
                <w:rFonts w:ascii="Calibri" w:hAnsi="Calibri" w:cs="Calibri"/>
                <w:sz w:val="18"/>
                <w:szCs w:val="18"/>
                <w:lang w:eastAsia="it-IT"/>
              </w:rPr>
              <w:t>Il Segretario Generale è incluso fra i Dirigenti</w:t>
            </w:r>
          </w:p>
        </w:tc>
        <w:tc>
          <w:tcPr>
            <w:tcW w:w="1008" w:type="dxa"/>
            <w:tcBorders>
              <w:top w:val="single" w:sz="4" w:space="0" w:color="auto"/>
              <w:left w:val="nil"/>
              <w:bottom w:val="nil"/>
              <w:right w:val="nil"/>
            </w:tcBorders>
            <w:shd w:val="clear" w:color="auto" w:fill="auto"/>
            <w:noWrap/>
            <w:vAlign w:val="bottom"/>
            <w:hideMark/>
          </w:tcPr>
          <w:p w14:paraId="207DC6B9" w14:textId="77777777" w:rsidR="00440A5B" w:rsidRPr="00937DD8" w:rsidRDefault="00440A5B" w:rsidP="006F5F60">
            <w:pPr>
              <w:rPr>
                <w:rFonts w:ascii="Calibri" w:hAnsi="Calibri" w:cs="Calibri"/>
                <w:color w:val="C00000"/>
                <w:sz w:val="18"/>
                <w:szCs w:val="18"/>
                <w:lang w:eastAsia="it-IT"/>
              </w:rPr>
            </w:pPr>
          </w:p>
        </w:tc>
        <w:tc>
          <w:tcPr>
            <w:tcW w:w="1008" w:type="dxa"/>
            <w:tcBorders>
              <w:top w:val="single" w:sz="4" w:space="0" w:color="auto"/>
              <w:left w:val="nil"/>
              <w:bottom w:val="nil"/>
              <w:right w:val="nil"/>
            </w:tcBorders>
            <w:shd w:val="clear" w:color="auto" w:fill="auto"/>
            <w:noWrap/>
            <w:vAlign w:val="bottom"/>
            <w:hideMark/>
          </w:tcPr>
          <w:p w14:paraId="143D6ACC" w14:textId="77777777" w:rsidR="00440A5B" w:rsidRPr="00937DD8" w:rsidRDefault="00440A5B" w:rsidP="006F5F60">
            <w:pPr>
              <w:rPr>
                <w:lang w:eastAsia="it-IT"/>
              </w:rPr>
            </w:pPr>
          </w:p>
        </w:tc>
        <w:tc>
          <w:tcPr>
            <w:tcW w:w="1008" w:type="dxa"/>
            <w:tcBorders>
              <w:top w:val="single" w:sz="4" w:space="0" w:color="auto"/>
              <w:left w:val="nil"/>
              <w:bottom w:val="nil"/>
              <w:right w:val="nil"/>
            </w:tcBorders>
            <w:shd w:val="clear" w:color="auto" w:fill="auto"/>
            <w:noWrap/>
            <w:vAlign w:val="bottom"/>
            <w:hideMark/>
          </w:tcPr>
          <w:p w14:paraId="1336C172" w14:textId="77777777" w:rsidR="00440A5B" w:rsidRPr="00937DD8" w:rsidRDefault="00440A5B" w:rsidP="006F5F60">
            <w:pPr>
              <w:rPr>
                <w:lang w:eastAsia="it-IT"/>
              </w:rPr>
            </w:pPr>
          </w:p>
        </w:tc>
        <w:tc>
          <w:tcPr>
            <w:tcW w:w="1008" w:type="dxa"/>
            <w:tcBorders>
              <w:top w:val="single" w:sz="4" w:space="0" w:color="auto"/>
              <w:left w:val="nil"/>
              <w:bottom w:val="nil"/>
              <w:right w:val="nil"/>
            </w:tcBorders>
            <w:shd w:val="clear" w:color="auto" w:fill="auto"/>
            <w:noWrap/>
            <w:vAlign w:val="bottom"/>
            <w:hideMark/>
          </w:tcPr>
          <w:p w14:paraId="36A7E1C5" w14:textId="77777777" w:rsidR="00440A5B" w:rsidRPr="00937DD8" w:rsidRDefault="00440A5B" w:rsidP="006F5F60">
            <w:pPr>
              <w:rPr>
                <w:lang w:eastAsia="it-IT"/>
              </w:rPr>
            </w:pPr>
          </w:p>
        </w:tc>
      </w:tr>
      <w:tr w:rsidR="00440A5B" w:rsidRPr="00937DD8" w14:paraId="329249D7" w14:textId="77777777" w:rsidTr="006F5F60">
        <w:trPr>
          <w:trHeight w:val="279"/>
        </w:trPr>
        <w:tc>
          <w:tcPr>
            <w:tcW w:w="1008" w:type="dxa"/>
            <w:tcBorders>
              <w:top w:val="nil"/>
              <w:left w:val="nil"/>
              <w:bottom w:val="nil"/>
              <w:right w:val="nil"/>
            </w:tcBorders>
            <w:shd w:val="clear" w:color="auto" w:fill="auto"/>
            <w:noWrap/>
            <w:vAlign w:val="bottom"/>
            <w:hideMark/>
          </w:tcPr>
          <w:p w14:paraId="7C5CA0E6" w14:textId="7CF1D20D" w:rsidR="00440A5B" w:rsidRPr="00937DD8" w:rsidRDefault="00256B3B" w:rsidP="006F5F60">
            <w:pPr>
              <w:rPr>
                <w:lang w:eastAsia="it-IT"/>
              </w:rPr>
            </w:pPr>
            <w:r>
              <w:rPr>
                <w:noProof/>
                <w:lang w:eastAsia="it-IT"/>
              </w:rPr>
              <mc:AlternateContent>
                <mc:Choice Requires="wps">
                  <w:drawing>
                    <wp:anchor distT="0" distB="0" distL="114300" distR="114300" simplePos="0" relativeHeight="251681792" behindDoc="0" locked="0" layoutInCell="1" allowOverlap="1" wp14:anchorId="7A416E64" wp14:editId="5EBA7992">
                      <wp:simplePos x="0" y="0"/>
                      <wp:positionH relativeFrom="column">
                        <wp:posOffset>-41275</wp:posOffset>
                      </wp:positionH>
                      <wp:positionV relativeFrom="paragraph">
                        <wp:posOffset>-199390</wp:posOffset>
                      </wp:positionV>
                      <wp:extent cx="5895340" cy="253365"/>
                      <wp:effectExtent l="0" t="0" r="10160" b="13335"/>
                      <wp:wrapNone/>
                      <wp:docPr id="18" name="Casella di testo 18"/>
                      <wp:cNvGraphicFramePr/>
                      <a:graphic xmlns:a="http://schemas.openxmlformats.org/drawingml/2006/main">
                        <a:graphicData uri="http://schemas.microsoft.com/office/word/2010/wordprocessingShape">
                          <wps:wsp>
                            <wps:cNvSpPr txBox="1"/>
                            <wps:spPr>
                              <a:xfrm>
                                <a:off x="0" y="0"/>
                                <a:ext cx="5895340" cy="25336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D47895D" w14:textId="467860DE" w:rsidR="00256B3B" w:rsidRPr="00A549AF" w:rsidRDefault="00256B3B" w:rsidP="00256B3B">
                                  <w:pPr>
                                    <w:rPr>
                                      <w:sz w:val="16"/>
                                      <w:szCs w:val="16"/>
                                    </w:rPr>
                                  </w:pPr>
                                  <w:r>
                                    <w:rPr>
                                      <w:sz w:val="16"/>
                                      <w:szCs w:val="16"/>
                                    </w:rPr>
                                    <w:t xml:space="preserve">Tab. </w:t>
                                  </w:r>
                                  <w:r w:rsidR="00B51AFE">
                                    <w:rPr>
                                      <w:sz w:val="16"/>
                                      <w:szCs w:val="16"/>
                                    </w:rPr>
                                    <w:t>8</w:t>
                                  </w:r>
                                  <w:r>
                                    <w:rPr>
                                      <w:sz w:val="16"/>
                                      <w:szCs w:val="16"/>
                                    </w:rPr>
                                    <w:t>: dinamiche relative alla composizione del personale dell’Autorità di Sistema Portuale del Mar Adriatico Settentrionale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7A416E64" id="Casella di testo 18" o:spid="_x0000_s1032" type="#_x0000_t202" style="position:absolute;margin-left:-3.25pt;margin-top:-15.7pt;width:464.2pt;height:19.9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" fillcolor="white [3201]" strokeweight=".5pt">
                      <v:textbox>
                        <w:txbxContent>
                          <w:p w14:paraId="0D47895D" w14:textId="467860DE" w:rsidR="00256B3B" w:rsidRPr="00A549AF" w:rsidRDefault="00256B3B" w:rsidP="00256B3B">
                            <w:pPr>
                              <w:rPr>
                                <w:sz w:val="16"/>
                                <w:szCs w:val="16"/>
                              </w:rPr>
                            </w:pPr>
                            <w:r>
                              <w:rPr>
                                <w:sz w:val="16"/>
                                <w:szCs w:val="16"/>
                              </w:rPr>
                              <w:t xml:space="preserve">Tab. </w:t>
                            </w:r>
                            <w:r w:rsidR="00B51AFE">
                              <w:rPr>
                                <w:sz w:val="16"/>
                                <w:szCs w:val="16"/>
                              </w:rPr>
                              <w:t>8</w:t>
                            </w:r>
                            <w:r>
                              <w:rPr>
                                <w:sz w:val="16"/>
                                <w:szCs w:val="16"/>
                              </w:rPr>
                              <w:t>: dinamiche relative alla composizione del personale dell’Autorità di Sistema Portuale del Mar Adriatico Settentrionale</w:t>
                            </w:r>
                          </w:p>
                        </w:txbxContent>
                      </v:textbox>
                    </v:shape>
                  </w:pict>
                </mc:Fallback>
              </mc:AlternateContent>
            </w:r>
          </w:p>
        </w:tc>
        <w:tc>
          <w:tcPr>
            <w:tcW w:w="4239" w:type="dxa"/>
            <w:tcBorders>
              <w:top w:val="nil"/>
              <w:left w:val="nil"/>
              <w:bottom w:val="nil"/>
              <w:right w:val="nil"/>
            </w:tcBorders>
            <w:shd w:val="clear" w:color="auto" w:fill="auto"/>
            <w:vAlign w:val="bottom"/>
            <w:hideMark/>
          </w:tcPr>
          <w:p w14:paraId="08959DE8" w14:textId="6421BA38" w:rsidR="00440A5B" w:rsidRPr="0059151E" w:rsidRDefault="00440A5B" w:rsidP="006F5F60">
            <w:pPr>
              <w:rPr>
                <w:rFonts w:ascii="Calibri" w:hAnsi="Calibri" w:cs="Calibri"/>
                <w:sz w:val="18"/>
                <w:szCs w:val="18"/>
                <w:lang w:eastAsia="it-IT"/>
              </w:rPr>
            </w:pPr>
            <w:r w:rsidRPr="0059151E">
              <w:rPr>
                <w:rFonts w:ascii="Calibri" w:hAnsi="Calibri" w:cs="Calibri"/>
                <w:sz w:val="18"/>
                <w:szCs w:val="18"/>
                <w:lang w:eastAsia="it-IT"/>
              </w:rPr>
              <w:t>*** Comprensivo del dirigente in aspettativa</w:t>
            </w:r>
          </w:p>
          <w:p w14:paraId="6ED7749E" w14:textId="77777777" w:rsidR="00440A5B" w:rsidRPr="0059151E" w:rsidRDefault="00440A5B" w:rsidP="006F5F60">
            <w:pPr>
              <w:rPr>
                <w:rFonts w:ascii="Calibri" w:hAnsi="Calibri" w:cs="Calibri"/>
                <w:sz w:val="18"/>
                <w:szCs w:val="18"/>
                <w:lang w:eastAsia="it-IT"/>
              </w:rPr>
            </w:pPr>
          </w:p>
        </w:tc>
        <w:tc>
          <w:tcPr>
            <w:tcW w:w="1008" w:type="dxa"/>
            <w:tcBorders>
              <w:top w:val="nil"/>
              <w:left w:val="nil"/>
              <w:bottom w:val="nil"/>
              <w:right w:val="nil"/>
            </w:tcBorders>
            <w:shd w:val="clear" w:color="auto" w:fill="auto"/>
            <w:noWrap/>
            <w:vAlign w:val="bottom"/>
            <w:hideMark/>
          </w:tcPr>
          <w:p w14:paraId="5AA1B919" w14:textId="77777777" w:rsidR="00440A5B" w:rsidRPr="00937DD8" w:rsidRDefault="00440A5B" w:rsidP="006F5F60">
            <w:pPr>
              <w:rPr>
                <w:rFonts w:ascii="Calibri" w:hAnsi="Calibri" w:cs="Calibri"/>
                <w:color w:val="C00000"/>
                <w:sz w:val="18"/>
                <w:szCs w:val="18"/>
                <w:lang w:eastAsia="it-IT"/>
              </w:rPr>
            </w:pPr>
          </w:p>
        </w:tc>
        <w:tc>
          <w:tcPr>
            <w:tcW w:w="1008" w:type="dxa"/>
            <w:tcBorders>
              <w:top w:val="nil"/>
              <w:left w:val="nil"/>
              <w:bottom w:val="nil"/>
              <w:right w:val="nil"/>
            </w:tcBorders>
            <w:shd w:val="clear" w:color="auto" w:fill="auto"/>
            <w:noWrap/>
            <w:vAlign w:val="bottom"/>
            <w:hideMark/>
          </w:tcPr>
          <w:p w14:paraId="0946DCE9" w14:textId="77777777" w:rsidR="00440A5B" w:rsidRPr="00937DD8" w:rsidRDefault="00440A5B" w:rsidP="006F5F60">
            <w:pPr>
              <w:rPr>
                <w:lang w:eastAsia="it-IT"/>
              </w:rPr>
            </w:pPr>
          </w:p>
        </w:tc>
        <w:tc>
          <w:tcPr>
            <w:tcW w:w="1008" w:type="dxa"/>
            <w:tcBorders>
              <w:top w:val="nil"/>
              <w:left w:val="nil"/>
              <w:bottom w:val="nil"/>
              <w:right w:val="nil"/>
            </w:tcBorders>
            <w:shd w:val="clear" w:color="auto" w:fill="auto"/>
            <w:noWrap/>
            <w:vAlign w:val="bottom"/>
            <w:hideMark/>
          </w:tcPr>
          <w:p w14:paraId="7E958E8A" w14:textId="77777777" w:rsidR="00440A5B" w:rsidRPr="00937DD8" w:rsidRDefault="00440A5B" w:rsidP="006F5F60">
            <w:pPr>
              <w:rPr>
                <w:lang w:eastAsia="it-IT"/>
              </w:rPr>
            </w:pPr>
          </w:p>
        </w:tc>
        <w:tc>
          <w:tcPr>
            <w:tcW w:w="1008" w:type="dxa"/>
            <w:tcBorders>
              <w:top w:val="nil"/>
              <w:left w:val="nil"/>
              <w:bottom w:val="nil"/>
              <w:right w:val="nil"/>
            </w:tcBorders>
            <w:shd w:val="clear" w:color="auto" w:fill="auto"/>
            <w:noWrap/>
            <w:vAlign w:val="bottom"/>
            <w:hideMark/>
          </w:tcPr>
          <w:p w14:paraId="4A8A314E" w14:textId="77777777" w:rsidR="00440A5B" w:rsidRPr="00937DD8" w:rsidRDefault="00440A5B" w:rsidP="006F5F60">
            <w:pPr>
              <w:rPr>
                <w:lang w:eastAsia="it-IT"/>
              </w:rPr>
            </w:pPr>
          </w:p>
        </w:tc>
      </w:tr>
    </w:tbl>
    <w:p w14:paraId="1071F5DD" w14:textId="77777777" w:rsidR="00256B3B" w:rsidRDefault="00256B3B" w:rsidP="00440A5B">
      <w:pPr>
        <w:jc w:val="both"/>
      </w:pPr>
    </w:p>
    <w:p w14:paraId="5B514971" w14:textId="77777777" w:rsidR="00256B3B" w:rsidRDefault="00256B3B" w:rsidP="00782261">
      <w:pPr>
        <w:jc w:val="both"/>
      </w:pPr>
    </w:p>
    <w:p w14:paraId="09857FFD" w14:textId="618BB3CC" w:rsidR="00440A5B" w:rsidRDefault="00440A5B" w:rsidP="00782261">
      <w:pPr>
        <w:jc w:val="both"/>
      </w:pPr>
    </w:p>
    <w:p w14:paraId="477D7D5D" w14:textId="343F33F9" w:rsidR="00440A5B" w:rsidRDefault="00440A5B" w:rsidP="00782261">
      <w:pPr>
        <w:jc w:val="both"/>
      </w:pPr>
    </w:p>
    <w:p w14:paraId="77B9B377" w14:textId="1328FB6B" w:rsidR="00440A5B" w:rsidRDefault="00440A5B" w:rsidP="00782261">
      <w:pPr>
        <w:jc w:val="both"/>
      </w:pPr>
    </w:p>
    <w:p w14:paraId="2641F863" w14:textId="4BE2B080" w:rsidR="00B51AFE" w:rsidRDefault="00B51AFE" w:rsidP="00782261">
      <w:pPr>
        <w:jc w:val="both"/>
      </w:pPr>
    </w:p>
    <w:p w14:paraId="529A03BA" w14:textId="7637AC31" w:rsidR="00B51AFE" w:rsidRDefault="00B51AFE" w:rsidP="00782261">
      <w:pPr>
        <w:jc w:val="both"/>
      </w:pPr>
    </w:p>
    <w:p w14:paraId="50D5CEAF" w14:textId="56A3E939" w:rsidR="00B51AFE" w:rsidRDefault="00B51AFE" w:rsidP="00782261">
      <w:pPr>
        <w:jc w:val="both"/>
      </w:pPr>
    </w:p>
    <w:p w14:paraId="69370F50" w14:textId="500DEAF3" w:rsidR="00B51AFE" w:rsidRDefault="00B51AFE" w:rsidP="00782261">
      <w:pPr>
        <w:jc w:val="both"/>
      </w:pPr>
    </w:p>
    <w:p w14:paraId="40FB43CB" w14:textId="365953E7" w:rsidR="00B51AFE" w:rsidRDefault="00B51AFE" w:rsidP="00782261">
      <w:pPr>
        <w:jc w:val="both"/>
      </w:pPr>
    </w:p>
    <w:p w14:paraId="1BF4A1C2" w14:textId="73CE6D7F" w:rsidR="00B51AFE" w:rsidRDefault="00B51AFE" w:rsidP="00782261">
      <w:pPr>
        <w:jc w:val="both"/>
      </w:pPr>
    </w:p>
    <w:p w14:paraId="514B9FD7" w14:textId="3DB88023" w:rsidR="00B51AFE" w:rsidRDefault="00B51AFE" w:rsidP="00782261">
      <w:pPr>
        <w:jc w:val="both"/>
      </w:pPr>
    </w:p>
    <w:p w14:paraId="6A18849F" w14:textId="1795D071" w:rsidR="00B51AFE" w:rsidRDefault="00B51AFE" w:rsidP="00782261">
      <w:pPr>
        <w:jc w:val="both"/>
      </w:pPr>
    </w:p>
    <w:p w14:paraId="696A3479" w14:textId="2BBED583" w:rsidR="00B51AFE" w:rsidRDefault="00B51AFE" w:rsidP="00782261">
      <w:pPr>
        <w:jc w:val="both"/>
      </w:pPr>
    </w:p>
    <w:p w14:paraId="5311BF81" w14:textId="47558B8E" w:rsidR="00B51AFE" w:rsidRDefault="00B51AFE" w:rsidP="00782261">
      <w:pPr>
        <w:jc w:val="both"/>
      </w:pPr>
    </w:p>
    <w:p w14:paraId="37D7A9F1" w14:textId="5B6B4F7B" w:rsidR="00B51AFE" w:rsidRDefault="00B51AFE" w:rsidP="00782261">
      <w:pPr>
        <w:jc w:val="both"/>
      </w:pPr>
    </w:p>
    <w:p w14:paraId="3ED4FA8D" w14:textId="6168C294" w:rsidR="00B51AFE" w:rsidRDefault="00B51AFE" w:rsidP="00782261">
      <w:pPr>
        <w:jc w:val="both"/>
      </w:pPr>
    </w:p>
    <w:p w14:paraId="0AFDA14E" w14:textId="243B6166" w:rsidR="00B51AFE" w:rsidRDefault="00B51AFE" w:rsidP="00782261">
      <w:pPr>
        <w:jc w:val="both"/>
      </w:pPr>
    </w:p>
    <w:p w14:paraId="15145854" w14:textId="77777777" w:rsidR="00B51AFE" w:rsidRDefault="00B51AFE" w:rsidP="00782261">
      <w:pPr>
        <w:jc w:val="both"/>
      </w:pPr>
    </w:p>
    <w:p w14:paraId="43C4FA44" w14:textId="77777777" w:rsidR="00440A5B" w:rsidRPr="00F8380B" w:rsidRDefault="00440A5B" w:rsidP="002D4276">
      <w:pPr>
        <w:pStyle w:val="Titolo1"/>
        <w:numPr>
          <w:ilvl w:val="0"/>
          <w:numId w:val="9"/>
        </w:numPr>
        <w:rPr>
          <w:b/>
          <w:bCs/>
        </w:rPr>
      </w:pPr>
      <w:bookmarkStart w:id="5" w:name="_Toc103881172"/>
      <w:r w:rsidRPr="00F8380B">
        <w:rPr>
          <w:b/>
          <w:bCs/>
        </w:rPr>
        <w:lastRenderedPageBreak/>
        <w:t>Attività operativa, pianificazione e sviluppo del porto</w:t>
      </w:r>
      <w:bookmarkEnd w:id="5"/>
    </w:p>
    <w:p w14:paraId="2E5F8526" w14:textId="3F28F767" w:rsidR="00440A5B" w:rsidRPr="00F8380B" w:rsidRDefault="00440A5B" w:rsidP="002D4276">
      <w:pPr>
        <w:pStyle w:val="Titolo2"/>
        <w:numPr>
          <w:ilvl w:val="1"/>
          <w:numId w:val="9"/>
        </w:numPr>
        <w:rPr>
          <w:b/>
          <w:bCs/>
          <w:u w:val="single"/>
        </w:rPr>
      </w:pPr>
      <w:bookmarkStart w:id="6" w:name="_Toc103881173"/>
      <w:r w:rsidRPr="00F8380B">
        <w:rPr>
          <w:u w:val="single"/>
        </w:rPr>
        <w:t>Indicazione della data di approvazione del Piano Operativo Triennale vigente e della revisione annuale.</w:t>
      </w:r>
      <w:bookmarkEnd w:id="6"/>
    </w:p>
    <w:p w14:paraId="2183DFCB" w14:textId="77777777" w:rsidR="00440A5B" w:rsidRDefault="00440A5B" w:rsidP="00440A5B">
      <w:pPr>
        <w:jc w:val="both"/>
      </w:pPr>
      <w:r>
        <w:t>Il Piano Operativo Triennale vigente è il POT 2022 – 2024 approvato dal Comitato di Gestione il 09/12/2021 con delibera n.16.</w:t>
      </w:r>
    </w:p>
    <w:p w14:paraId="5B2D322E" w14:textId="327D23AC" w:rsidR="00440A5B" w:rsidRPr="00F8380B" w:rsidRDefault="00440A5B" w:rsidP="002D4276">
      <w:pPr>
        <w:pStyle w:val="Titolo2"/>
        <w:numPr>
          <w:ilvl w:val="1"/>
          <w:numId w:val="9"/>
        </w:numPr>
        <w:rPr>
          <w:u w:val="single"/>
        </w:rPr>
      </w:pPr>
      <w:bookmarkStart w:id="7" w:name="_Toc103881174"/>
      <w:r w:rsidRPr="00F8380B">
        <w:rPr>
          <w:u w:val="single"/>
        </w:rPr>
        <w:t>Aggiornamenti sulla realizzazione delle azioni previste dal documento di pianificazione energetica e ambientale del sistema portuale.</w:t>
      </w:r>
      <w:bookmarkEnd w:id="7"/>
    </w:p>
    <w:p w14:paraId="71B9247F" w14:textId="77777777" w:rsidR="004476C3" w:rsidRDefault="004476C3" w:rsidP="004476C3">
      <w:pPr>
        <w:jc w:val="both"/>
      </w:pPr>
      <w:r>
        <w:t>Dopo aver predisposto, nel corso del 2019 il DEASP, secondo le linee guida del MATTM e tenendo conto delle linee strategiche di sviluppo dell’Ente e dei documenti Programmatici, nel corso del 2020 è stata predisposta una prima revisione del Deasp e sono stati raccolti, nell’ambito del progetto Cleanberth, anche i dati relativi all’area di Chioggia per l’anno 2019.</w:t>
      </w:r>
    </w:p>
    <w:p w14:paraId="66B9FFB7" w14:textId="77777777" w:rsidR="004476C3" w:rsidRDefault="004476C3" w:rsidP="004476C3">
      <w:pPr>
        <w:jc w:val="both"/>
      </w:pPr>
      <w:r>
        <w:t>Considerando gli esiti della “Carbon Footprint” sia del Porto di Venezia che del Porto di Chioggia e quindi, più nello specifico, il riepilogo delle emissioni complessive associate alle diverse funzioni riordinate per incidenza sul valore complessivo di CO2 sono state individuate una serie di possibili azioni da attuare, sia per gli aspetti diretti legati all’attività svolta da AdSPMAS, sia per gli aspetti indiretti legati alle attività portuali.</w:t>
      </w:r>
    </w:p>
    <w:p w14:paraId="0893F8C2" w14:textId="77777777" w:rsidR="004476C3" w:rsidRDefault="004476C3" w:rsidP="004476C3">
      <w:pPr>
        <w:jc w:val="both"/>
      </w:pPr>
      <w:r>
        <w:t xml:space="preserve">Infatti, anche se gli impatti del settore navale sul sistema portuale non derivano da aspetti gestionali e ambientali direttamente gestibili e controllabili da AdSP MAS, bensì da aspetti gestionali e ambientali sui quali AdSP MAS può solo esercitare un’influenza, per quanto rilevante, svolgendo funzioni di orientamento e coordinamento nei confronti dei diversi stakeholders coinvolti in queste attività, in questo contesto AdSP MAS, per il ruolo che svolge, si trova comunque in una posizione favorevole a cogliere le opportunità che si stanno delineando in termini di transizione energetica e relativi obiettivi di sviluppo.  </w:t>
      </w:r>
    </w:p>
    <w:p w14:paraId="2FBAE5D2" w14:textId="77777777" w:rsidR="004476C3" w:rsidRDefault="004476C3" w:rsidP="004476C3">
      <w:pPr>
        <w:jc w:val="both"/>
      </w:pPr>
      <w:r>
        <w:t xml:space="preserve">Queste opportunità si esplicano in soluzioni che vedono AdSP MAS quale possibile diretto soggetto attuatore e che sono rappresentate, a titolo esemplificativo, dalla conduzione di studi  propedeutici su nuove tecnologie e carburanti a bassa  o nulla “carbon footprint” per la transizione energetica, ma anche dall’attuazione di interventi quali ad esempio la sostituzione del parco mezzi alimentati a gasolio/benzina con mezzi elettrici, la sostituzione di impianti di illuminazione tradizionale con impianti di illuminazione a led, o la realizzazione di impianti fotovoltaici su edifici demaniali, ecc.. </w:t>
      </w:r>
    </w:p>
    <w:p w14:paraId="300F7DBC" w14:textId="77777777" w:rsidR="004476C3" w:rsidRDefault="004476C3" w:rsidP="004476C3">
      <w:pPr>
        <w:jc w:val="both"/>
      </w:pPr>
      <w:r>
        <w:t>Tra le azioni previste dal DEASP, portata avanti anche nel corso del 2021, vi è l’impegno, congiuntamente ad importanti operatori del porto, a sviluppare una rete di approvvigionamento, rifornimento e distribuzione di gas naturale liquido (GNL), carburante alternativo che permette di eliminare quasi totalmente le emissioni di ossidi di zolfo (-95%) e di polveri sottili (PM10 -90%), e di ridurre le emissioni di anidride carbonica di circa il 20% rispetto alle emissioni dei combustibili fossili attualmente utilizzati, rappresentando quindi una tecnologia di transizione verso tecnologie più performanti in relazione agli obiettivi del European Green Deal.</w:t>
      </w:r>
    </w:p>
    <w:p w14:paraId="5E278A55" w14:textId="77777777" w:rsidR="009A2095" w:rsidRPr="009F142E" w:rsidRDefault="009A2095" w:rsidP="009A2095">
      <w:pPr>
        <w:jc w:val="both"/>
      </w:pPr>
      <w:r>
        <w:t xml:space="preserve">Si tratta della realizzazione del primo deposito di GNL a porto Marghera con capacità di 32.000 m³, promosso dalla società Venice LNG, e della costruzione di una bettolina per il trasporto di GNL da parte della società </w:t>
      </w:r>
      <w:r w:rsidRPr="009F142E">
        <w:t>Rimorchiatori Riuniti Panfido, in grado di trasportare 4.000 m³ di GNL tra il terminal di stoccaggio e le navi da rifornire.</w:t>
      </w:r>
    </w:p>
    <w:p w14:paraId="2F334062" w14:textId="1BC536DB" w:rsidR="00636284" w:rsidRPr="009F142E" w:rsidRDefault="00636284" w:rsidP="009A2095">
      <w:pPr>
        <w:jc w:val="both"/>
      </w:pPr>
      <w:r w:rsidRPr="009F142E">
        <w:t xml:space="preserve">In particolare nel 2021 si è concluso il progetto europeo POSEIDON MED II, programma CEF, che ha cofinanziato la bettolina LNG; il 26 ottobre 2021 è stato organizzato presso i Cantieri Rosetti Marino di Ravenna l’evento finale di presentazione della bettolina alla presenza di rappresentanti istituzionali della Commissione Europea, Ministero dei Trasporti Italiano, Autorità Portuali e Capitanerie di Porto di Venezia e Ravenna ed altri stakeholder italiani. Per quanto riguarda invece il terminal LNG, a seguito del Decreto di autorizzazione emesso da MISE e MIMS a dicembre 2020, per la realizzazione del deposito costiero, la società </w:t>
      </w:r>
      <w:r w:rsidRPr="009F142E">
        <w:lastRenderedPageBreak/>
        <w:t>DECAL Spa, in coordinamento con ADSPMAS, ha proceduto all’ottemperanza delle prescrizioni stabilite dal decreto per l’avvio dei lavori.</w:t>
      </w:r>
    </w:p>
    <w:p w14:paraId="2DF2CAA1" w14:textId="77777777" w:rsidR="009A2095" w:rsidRDefault="009A2095" w:rsidP="009A2095">
      <w:pPr>
        <w:jc w:val="both"/>
      </w:pPr>
      <w:r w:rsidRPr="009F142E">
        <w:t>Grazie alle suddette iniziative, che prevedono un investimento complessivo di oltre 136 milioni di euro da parte di privati, co-finanziato da 28 milioni di contributi dell’Unione Europea (programma Connecting Europe Facility), il porto di Venezia completerà</w:t>
      </w:r>
      <w:r>
        <w:t xml:space="preserve"> la catena logistica per l’approvvigionamento e rifornimento di GNL alle navi, consentendo in tal modo al Sistema portuale veneziano di essere in linea con le disposizioni della Direttiva UE 2014/94 sull’infrastruttura per carburanti alternativi, come adottata dall’ordinamento italiano con il D.lgs. 2016/257, e più in generale con gli obiettivi del Green Deal europeo. La suddetta bettolina opererà principalmente nella zona dell’Nord-Adriatico e sarà la prima imbarcazione di questa tipologia ad essere impegnata in quest’area.</w:t>
      </w:r>
    </w:p>
    <w:p w14:paraId="56543D9B" w14:textId="77777777" w:rsidR="009A2095" w:rsidRDefault="009A2095" w:rsidP="009A2095">
      <w:pPr>
        <w:jc w:val="both"/>
      </w:pPr>
      <w:r>
        <w:t xml:space="preserve">Per quanto riguarda altri interventi previsti dal DEASP a cui si è data attuazione nel corso del 2021, si riportano di seguito l’aggiornamento degli stati di avanzamento. </w:t>
      </w:r>
    </w:p>
    <w:p w14:paraId="2EF8362F" w14:textId="4CDA6105" w:rsidR="009A2095" w:rsidRDefault="009A2095" w:rsidP="009A2095">
      <w:pPr>
        <w:jc w:val="both"/>
      </w:pPr>
      <w:r>
        <w:t>Nell’ambito della riqualificazione energetica degli edifici, sono stati redatti i progetti esecutivi relativi al tetto del Fabbricato 17 a Venezia e al rifacimento del Fabbricato 359 (Marghera - Polizia di Frontiera) per ciò che concerne gli impianti e l’isolamento. È stata redatta la progettazione esecutiva relativa al risanamento del tetto del Fabbricato 117 per la quale è stato dato avvio all’individuazione della ditta appaltatrice.</w:t>
      </w:r>
    </w:p>
    <w:p w14:paraId="51C47BA6" w14:textId="502177A8" w:rsidR="004476C3" w:rsidRDefault="004476C3" w:rsidP="009A2095">
      <w:pPr>
        <w:jc w:val="both"/>
      </w:pPr>
      <w:r>
        <w:t>È stato eseguito il progetto di efficientamento della rete di distribuzione elettrica del Porto per l’adeguamento delle linee di adduzione elettrica, con la finalità di rendere indipendenti i contatori all'interno delle cabine di fornitura elettrica per ciascuna realtà portuale/utente, cosa che consentirà, in futuro, anche la possibilità di realizzare ulteriori interventi di efficientamento energetico quali per esempio la realizzazione di sistemi fotovoltaici da parte dei singoli terminalisti. Nel corso del 2021 sono proseguite le indagini per gli interventi infrastrutturali da doversi attuare.</w:t>
      </w:r>
    </w:p>
    <w:p w14:paraId="79C872BB" w14:textId="77777777" w:rsidR="004476C3" w:rsidRDefault="004476C3" w:rsidP="004476C3">
      <w:pPr>
        <w:jc w:val="both"/>
      </w:pPr>
      <w:r>
        <w:t>Per quanto concerne l’efficientamento dell’illuminazione delle aree portuali, conclusa la progettazione esecutiva ed è stata espletata la gara per l’affidamento della sostituzione dell’attuale illuminazione per l’installazione di nuovi corpi illuminanti a led dotati di dispositivi di gestione delle accensioni, lungo la strada di collegamento tra Sant’Andrea e Santa Marta/San Basilio.</w:t>
      </w:r>
    </w:p>
    <w:p w14:paraId="19E67190" w14:textId="77777777" w:rsidR="004476C3" w:rsidRDefault="004476C3" w:rsidP="004476C3">
      <w:pPr>
        <w:jc w:val="both"/>
      </w:pPr>
      <w:r>
        <w:t>Con riferimento alle azioni che AdSPMAS sta conducendo all’interno del piano nazionale PNRR, in collaborazione anche con terminalisti portuali, si riportano a seguire i progetti di riqualificazione energetica presentati al MITE per la relativa approvazione. Sono in programma azioni per la progettazione della riqualificazione energetica di fabbricati in concessione a terminal portuali, specificamente rivolti alla produzione di energia elettrica da fonte rinnovabile (solare) e di realizzazione di pensiline per impianti fotovoltaici (es. per posteggi auto); implementazione di nuove colonnine di ricarica elettrica (22 kW) per automezzi portuali e per mezzi di servizio (auto) presso le aree portuali; progettazione preliminare per l’elettrificazione e potenziamento elettrico di banchine portuali alle quali collegare gru elettriche sia per i terminal container che per altre merci.</w:t>
      </w:r>
    </w:p>
    <w:p w14:paraId="389F5E15" w14:textId="77777777" w:rsidR="004476C3" w:rsidRDefault="004476C3" w:rsidP="004476C3">
      <w:pPr>
        <w:jc w:val="both"/>
      </w:pPr>
      <w:r>
        <w:t>È prevista la messa a disposizione da parte di AdSP-MAS di un natante ad idrogeno e di mezzi alimentati ad idrogeno, atti alla movimentazione ferroviaria di carri nel comprensorio ferroviario di Marghera – Venezia. Inoltre, l’acquisto di quattro mezzi full electric, di un veicolo di servizio ad idrogeno, in sostituzione di mezzi a motore endotermico.</w:t>
      </w:r>
    </w:p>
    <w:p w14:paraId="54E90B04" w14:textId="77777777" w:rsidR="004476C3" w:rsidRDefault="004476C3" w:rsidP="004476C3">
      <w:pPr>
        <w:jc w:val="both"/>
      </w:pPr>
      <w:r>
        <w:t>Nel corso del 2021 sono state valutate le azioni per la risoluzione delle criticità illuminotecniche e impiantistiche presso i terminal del Porto di Chioggia con la progettazione di un nuovo impianto torri faro e luci perimetrali per la sicurezza del piazzale di ingresso, il rifacimento degli impianti illuminazione con luci a LED in area Montesyndial e per gli altri terminal portuali (sia terminal crocieristico, sia rinfuse, sia per terminal containers)</w:t>
      </w:r>
    </w:p>
    <w:p w14:paraId="0B588BEC" w14:textId="77777777" w:rsidR="004476C3" w:rsidRDefault="004476C3" w:rsidP="004476C3">
      <w:pPr>
        <w:jc w:val="both"/>
      </w:pPr>
      <w:r>
        <w:lastRenderedPageBreak/>
        <w:t>Per quanto riguarda il tema idrogeno (H2) sono state discusse e valutate progettazioni per la realizzazione di una piccola centrale di produzione di H2 per via elettrolitica con fotovoltaico in area in concessione.</w:t>
      </w:r>
    </w:p>
    <w:p w14:paraId="5EFC8CB0" w14:textId="77777777" w:rsidR="004476C3" w:rsidRDefault="004476C3" w:rsidP="004476C3">
      <w:pPr>
        <w:jc w:val="both"/>
      </w:pPr>
      <w:r>
        <w:t xml:space="preserve">Sono previsti da parte di AdSPMAS, RFI, ERF e CAV molteplici interventi atti ad incrementare e rafforzare la quota modale su ferro, migliorare l’accessibilità ferroviaria al porto e supportare la logistica intermodale.  In particolare nel breve periodo gli interventi riguardano: l’adeguamento di Venezia Marghera Scalo, la realizzazione del nuovo ponte ferroviario su Canale Ovest, il raddoppio dell’attuale binario ferroviario, il raddoppio dell’attuale binario ferroviario per il nodo di Malcontenta. Nel medio periodo sono previsti gli interventi di adeguamenti Parco Breda e Marghera Scalo, la realizzazione di una nuova linea ferroviaria a doppio binario di collegamento tra il Raccordo Base del Comprensorio Ferroviario di Marghera Scalo e l’area ex Montesyndial inclusa la realizzazione di una piattaforma intermodale; la realizzazione di un deposito officina funzionale. </w:t>
      </w:r>
    </w:p>
    <w:p w14:paraId="19AE1F5F" w14:textId="77777777" w:rsidR="004476C3" w:rsidRDefault="004476C3" w:rsidP="004476C3">
      <w:pPr>
        <w:jc w:val="both"/>
      </w:pPr>
      <w:r>
        <w:t xml:space="preserve">Con riferimento invece alla certificazione ambientale, secondo la norma UNI EN ISO 14001, rinnovata nel corso degli anni, anche in funzione delle nuove norme ISO entrate in vigore nel 2015, confermata anche nel 2021all’Autorità di Sistema portuale del Mare Adriatico Settentrionale si evidenzia l’impegno continuo dell’Ente per il miglioramento delle performance ambientali. Tale impegno è stato sottoscritto e reso pubblico nel documento “Politica Ambientale”, aggiornato nel tempo e disponibile sul sito internet istituzionale. In questo documento, AdSPMAS si impegna a perseguire il miglioramento continuo delle prestazioni ambientali, riducendo i consumi, la produzione dei rifiuti e l’inquinamento e a svolgere un ruolo di soggetto promotore del valore “tutela ambientale”, in un periodo in cui lo sviluppo sostenibile è un tema sempre più rilevante e dettato dal legislatore anche a livello europeo (Green Deal). </w:t>
      </w:r>
    </w:p>
    <w:p w14:paraId="47F63469" w14:textId="77777777" w:rsidR="004476C3" w:rsidRDefault="004476C3" w:rsidP="004476C3">
      <w:pPr>
        <w:jc w:val="both"/>
      </w:pPr>
      <w:r>
        <w:t>L’Ente sta lavorando per costruire nel tempo una rete di monitoraggio relativa ai diversi aspetti ambientali, diretti ed indiretti, legati alle attività portuali.</w:t>
      </w:r>
    </w:p>
    <w:p w14:paraId="4B458320" w14:textId="77777777" w:rsidR="004476C3" w:rsidRDefault="004476C3" w:rsidP="004476C3">
      <w:pPr>
        <w:jc w:val="both"/>
      </w:pPr>
      <w:r>
        <w:t>In data 08/04/2020 è stata sottoscritta con l’Università di Padova – Dipartimento di Ingegneria Industriale una Convenzione per la realizzazione di attività per la caratterizzazione acustica e modellizzazione di navi all’ormeggio ed in transito. Nel corso del 2021, attraverso il citato progetto europeo Cleanberth, è stato possibile acquistare ed installare, presso il centro storico di Venezia – Matrima, tre centraline fonometriche permanenti per il monitoraggio in continuo e di lunga durata del rumore generato dalle infrattare portuali.</w:t>
      </w:r>
    </w:p>
    <w:p w14:paraId="44C43A71" w14:textId="77777777" w:rsidR="004476C3" w:rsidRDefault="004476C3" w:rsidP="004476C3">
      <w:pPr>
        <w:jc w:val="both"/>
      </w:pPr>
      <w:r>
        <w:t>Nel 2021, inoltre, sono proseguite le attività relative all’Accordo di Collaborazione con ARPAV per la valutazione della qualità dell’aria, siglato nel 2019. Presso il Terminal RO-PAX di Fusina è stata posizionata ed avviata una centralina di monitoraggio della qualità dell’aria. Attraverso tale centralina sono continuamente monitorate le emissioni atmosferiche secondo quanto previsto dal parere VIA n. 375 relativo alla realizzazione del Terminal; la gestione della centralina è in capo ad ARPAV, secondo l’Accordo di Collaborazione ex art. 15 L. 241/1990 sopra citato.</w:t>
      </w:r>
    </w:p>
    <w:p w14:paraId="3702D665" w14:textId="77777777" w:rsidR="004476C3" w:rsidRDefault="004476C3" w:rsidP="004476C3">
      <w:pPr>
        <w:jc w:val="both"/>
      </w:pPr>
      <w:r>
        <w:t>Durante lo stesso anno sono proseguite le ordinarie attività di monitoraggio analitico relative alla verifica della qualità degli scarichi in laguna e in fognatura, attraverso campionamenti ed analisi dei reflui oltre a tutte le attività di manutenzione ordinaria/straordinaria, finalizzate a garantire l’efficienza degli impianti di trattamento delle acque meteoriche.</w:t>
      </w:r>
    </w:p>
    <w:p w14:paraId="02E7B643" w14:textId="77777777" w:rsidR="004476C3" w:rsidRDefault="004476C3" w:rsidP="004476C3">
      <w:pPr>
        <w:jc w:val="both"/>
      </w:pPr>
      <w:r>
        <w:t xml:space="preserve">Le attività relative al servizio in appaltato alla ditta Giotto Coop. Soc. per la manutenzione ordinaria delle strade ed aree comuni portuali di Marittima e Marghera, riguardanti spazzamento delle strade, svuotamento dei cassonetti ed asporto dei rifiuti, manutenzione delle aree verdi, derattizzazione e disinfestazione, hanno avuto regolare svolgimento nel 2021 in regime di proroga. Il servizio riguarda: la gestione e lo svuotamento dei cassonetti e dei cestini presenti presso le aree portuali, il conferimento ad impianti autorizzati dei rifiuti raccolti (compresi rifiuti da attività di spazzamento e rifiuti abbandonati), la pulizia e lo spazzamento delle strade e delle aree portuali, potature, abbattimenti, sfalci ed altre attività riguardanti il mantenimento del </w:t>
      </w:r>
      <w:r>
        <w:lastRenderedPageBreak/>
        <w:t>patrimonio arboreo e del verde, anche in situazioni di emergenza, interventi mensili di derattizzazione e disinfestazione.</w:t>
      </w:r>
    </w:p>
    <w:p w14:paraId="0E47EC74" w14:textId="77777777" w:rsidR="004476C3" w:rsidRDefault="004476C3" w:rsidP="004476C3">
      <w:pPr>
        <w:jc w:val="both"/>
      </w:pPr>
      <w:r>
        <w:t xml:space="preserve">Per quanto riguarda le attività di pulizia interna delle sedi di AdSPMAS il 01/10/2021 ha avuto inizio il servizio in appalto con la CoopService. </w:t>
      </w:r>
    </w:p>
    <w:p w14:paraId="7846D5E3" w14:textId="77777777" w:rsidR="004476C3" w:rsidRDefault="004476C3" w:rsidP="004476C3">
      <w:pPr>
        <w:jc w:val="both"/>
      </w:pPr>
      <w:r>
        <w:t>Per quanto riguarda la Concessione del servizio di raccolta, stoccaggio, pretrattamento e smaltimento dei rifiuti solidi, liquidi e dei residui del carico prodotti dalle navi ormeggiate nel porto di Chioggia, nel corso del 2021 è stata portata a termine l’attività di predisposizione della documentazione per l’espletamento della gara relativa alla concessione del servizio di raccolta e di gestione dei rifiuti prodotti dalle navi e dei residui del carico del Porto di Chioggia.</w:t>
      </w:r>
    </w:p>
    <w:p w14:paraId="1A32D425" w14:textId="61A8AA1B" w:rsidR="004476C3" w:rsidRDefault="004476C3" w:rsidP="004476C3">
      <w:pPr>
        <w:jc w:val="both"/>
      </w:pPr>
      <w:r>
        <w:t xml:space="preserve">Si è conclusa l’attività di censimento amianto dei fabbricati, siti in area Val Da Rio e area Saloni del Porto di Chioggia. L’esito del censimento, pervenuto ad AdSP-MAS con prot. n. 2676 del 13/02/2020, ha permesso di rilevare: </w:t>
      </w:r>
    </w:p>
    <w:p w14:paraId="4FCD0842" w14:textId="77777777" w:rsidR="004476C3" w:rsidRDefault="004476C3" w:rsidP="002D4276">
      <w:pPr>
        <w:pStyle w:val="Paragrafoelenco"/>
        <w:numPr>
          <w:ilvl w:val="0"/>
          <w:numId w:val="5"/>
        </w:numPr>
        <w:jc w:val="both"/>
      </w:pPr>
      <w:r>
        <w:t>interventi urgenti da attuare nel minor tempo possibile;</w:t>
      </w:r>
    </w:p>
    <w:p w14:paraId="49C50AA0" w14:textId="77777777" w:rsidR="004476C3" w:rsidRDefault="004476C3" w:rsidP="002D4276">
      <w:pPr>
        <w:pStyle w:val="Paragrafoelenco"/>
        <w:numPr>
          <w:ilvl w:val="0"/>
          <w:numId w:val="5"/>
        </w:numPr>
        <w:jc w:val="both"/>
      </w:pPr>
      <w:r>
        <w:t>interventi da attuare entro un termine di 12 mesi;</w:t>
      </w:r>
    </w:p>
    <w:p w14:paraId="687FD8A1" w14:textId="755144B0" w:rsidR="004476C3" w:rsidRDefault="004476C3" w:rsidP="002D4276">
      <w:pPr>
        <w:pStyle w:val="Paragrafoelenco"/>
        <w:numPr>
          <w:ilvl w:val="0"/>
          <w:numId w:val="5"/>
        </w:numPr>
        <w:jc w:val="both"/>
      </w:pPr>
      <w:r>
        <w:t>interventi da attuare entro 3 anni.</w:t>
      </w:r>
    </w:p>
    <w:p w14:paraId="109B9738" w14:textId="34A451DD" w:rsidR="004476C3" w:rsidRDefault="004476C3" w:rsidP="004476C3">
      <w:pPr>
        <w:jc w:val="both"/>
      </w:pPr>
      <w:r>
        <w:t xml:space="preserve">Tra gli </w:t>
      </w:r>
      <w:r w:rsidRPr="0094224D">
        <w:t xml:space="preserve">interventi </w:t>
      </w:r>
      <w:r w:rsidR="0094224D" w:rsidRPr="0094224D">
        <w:t>da attuare</w:t>
      </w:r>
      <w:r w:rsidRPr="0094224D">
        <w:t xml:space="preserve"> con urgenza</w:t>
      </w:r>
      <w:r>
        <w:t xml:space="preserve"> presso l’area Saloni, rientrano le attività di bonifica svolte ai fabbricati: 900, 906 e 909. Saranno avviate le attività per la bonifica dei Fabbricati 906, 908 e 909 (CLAM) da parte dei concessionari, mentre è conclusa la Progettazione Esecutiva per la sistemazione del Fabbricato ATO; nel 2021 è stato dato avvio all’istruttoria per la definizione della gara per l’individuazione della ditta qualificata allo svolgimento del servizio di bonifica e riqualificazione del fabbricato ATO. </w:t>
      </w:r>
    </w:p>
    <w:p w14:paraId="3C04F2F8" w14:textId="77777777" w:rsidR="004476C3" w:rsidRDefault="004476C3" w:rsidP="004476C3">
      <w:pPr>
        <w:jc w:val="both"/>
      </w:pPr>
      <w:r>
        <w:t xml:space="preserve">Sono proseguite le attività relative alla bonifica della discarica del Porto di Chioggia. </w:t>
      </w:r>
    </w:p>
    <w:p w14:paraId="24E9F3B4" w14:textId="77777777" w:rsidR="004476C3" w:rsidRDefault="004476C3" w:rsidP="004476C3">
      <w:pPr>
        <w:jc w:val="both"/>
      </w:pPr>
      <w:r>
        <w:t>Dopo la redazione delle linee guida per la gestione del materiale contenente amianto (MCA) da parte di AdSPMAS, sono continuate le attività di valutazione del rischio sul corpo discarica. Al fine di stabilire le più corrette modalità di gestione del MCA, sono state condotte alcune riunioni con Commissario ed Enti competenti (regione, ARPAV) le quali hanno determinato di dover definire, attraverso una corretta caratterizzazione integrativa, i quantitativi di amianto presenti e le più corrette modalità di gestione del materiale.</w:t>
      </w:r>
    </w:p>
    <w:p w14:paraId="3E37118A" w14:textId="77777777" w:rsidR="004476C3" w:rsidRDefault="004476C3" w:rsidP="004476C3">
      <w:pPr>
        <w:jc w:val="both"/>
      </w:pPr>
      <w:r>
        <w:t>A seguito delle attività di caratterizzazione ambientale integrative alla discarica, utili a meglio definire i quantitativi di materiale da gestire e i conseguenti importi economici, è emersa la presenza di MCA in circa 80% dei punti indagati. Al momento le attività risultano sospese ed è in corso di valutazione la migliore strategia per la prosecuzione dei lavori di bonifica.</w:t>
      </w:r>
    </w:p>
    <w:p w14:paraId="24A59B57" w14:textId="09C726F9" w:rsidR="00440A5B" w:rsidRPr="00F8380B" w:rsidRDefault="00440A5B" w:rsidP="002D4276">
      <w:pPr>
        <w:pStyle w:val="Titolo2"/>
        <w:numPr>
          <w:ilvl w:val="1"/>
          <w:numId w:val="9"/>
        </w:numPr>
        <w:rPr>
          <w:u w:val="single"/>
        </w:rPr>
      </w:pPr>
      <w:bookmarkStart w:id="8" w:name="_Toc103881175"/>
      <w:r w:rsidRPr="00F8380B">
        <w:rPr>
          <w:u w:val="single"/>
        </w:rPr>
        <w:t>Svolgimento di attività connesse alla normativa emergenziale per la pandemia.</w:t>
      </w:r>
      <w:bookmarkEnd w:id="8"/>
    </w:p>
    <w:p w14:paraId="2419D27E" w14:textId="67AAE10F" w:rsidR="004476C3" w:rsidRDefault="004476C3" w:rsidP="004476C3">
      <w:pPr>
        <w:jc w:val="both"/>
      </w:pPr>
      <w:r>
        <w:t>L’Autorità  di Sistema Portuale del Mare Adriatico Settentrionale (AdSP MAS),  compatibilmente con le possibilità date dall’attuale situazione  sanitaria correlata al Covid-19, ha continuato la sua partecipazione  attiva alle riunioni (quando convocate) del Comitato Regionale di  Coordinamento (</w:t>
      </w:r>
      <w:r w:rsidR="009778F1">
        <w:t>l’</w:t>
      </w:r>
      <w:r>
        <w:t xml:space="preserve">ultimo </w:t>
      </w:r>
      <w:r w:rsidR="009778F1">
        <w:t xml:space="preserve">dei quali svolto in data </w:t>
      </w:r>
      <w:r>
        <w:t>15/02/2021) e dell’Organismo Provinciale di  Coordinamento (</w:t>
      </w:r>
      <w:r w:rsidR="009778F1">
        <w:t xml:space="preserve">l’ultimo dei quali svoltosi in data </w:t>
      </w:r>
      <w:r>
        <w:t xml:space="preserve">12/05/2021) delle attività di prevenzione e vigilanza in  materia di salute e sicurezza sul lavoro al fine di realizzare con Enti  quali SPISAL, INAIL e Ispettorato Territoriale del Lavoro, attività  congiunte di vigilanza in porto. </w:t>
      </w:r>
      <w:r w:rsidR="007A1A5C">
        <w:t>In particolare,</w:t>
      </w:r>
      <w:r>
        <w:t xml:space="preserve"> si sono svolte ispezioni congiunte con SPISAL in ambito SOI per verificare le misure di prevenzione e protezione messe in atto dai datori di lavoro delle imprese portuali dei Porti di Venezia e Chioggia, in riferimento ai protocolli emanati da Stato e Regione per il contrasto dell'emergenza SARS-CoV-2.</w:t>
      </w:r>
    </w:p>
    <w:p w14:paraId="3FF41E45" w14:textId="664C74A5" w:rsidR="004476C3" w:rsidRDefault="004476C3" w:rsidP="004476C3">
      <w:pPr>
        <w:jc w:val="both"/>
      </w:pPr>
      <w:r>
        <w:lastRenderedPageBreak/>
        <w:t>Nel corso del 2021 vi sono state n. 2 riunioni del Sistema Operativo Integrato (SOI), una il 06/09/2021 ed un’altra il 28/10/2021.</w:t>
      </w:r>
    </w:p>
    <w:p w14:paraId="133A1988" w14:textId="1E23C186" w:rsidR="004476C3" w:rsidRDefault="004476C3" w:rsidP="004476C3">
      <w:pPr>
        <w:jc w:val="both"/>
      </w:pPr>
      <w:r>
        <w:t>Nel corso del 2021, anche a seguito dell’emanazione di atti normativi da parte degli organi di governo centrali, sono state predisposte dall’area Sicurezza, Vigilanza e Controllo alcuni Decreti, Disposizioni di Servizio, Comunicati ed Informativa in particolare ad uso interno, relativi a:</w:t>
      </w:r>
    </w:p>
    <w:p w14:paraId="30AC9BD1" w14:textId="77777777" w:rsidR="003045E8" w:rsidRDefault="004476C3" w:rsidP="002D4276">
      <w:pPr>
        <w:pStyle w:val="Paragrafoelenco"/>
        <w:numPr>
          <w:ilvl w:val="0"/>
          <w:numId w:val="15"/>
        </w:numPr>
        <w:jc w:val="both"/>
      </w:pPr>
      <w:r w:rsidRPr="003045E8">
        <w:t>Prevenzione e sicurezza nei luoghi di lavoro in ordine all’emergenza sanitaria per il contrasto e il contenimento del diffondersi del virus COVID-19;</w:t>
      </w:r>
    </w:p>
    <w:p w14:paraId="60844D87" w14:textId="77777777" w:rsidR="003045E8" w:rsidRDefault="004476C3" w:rsidP="002D4276">
      <w:pPr>
        <w:pStyle w:val="Paragrafoelenco"/>
        <w:numPr>
          <w:ilvl w:val="0"/>
          <w:numId w:val="15"/>
        </w:numPr>
        <w:jc w:val="both"/>
      </w:pPr>
      <w:r w:rsidRPr="003045E8">
        <w:t>Piano Operativo misure contenimento anti-contagio COVID-19 per lo svolgimento delle selezioni pubbliche;</w:t>
      </w:r>
    </w:p>
    <w:p w14:paraId="73E6CE5D" w14:textId="77777777" w:rsidR="003045E8" w:rsidRDefault="004476C3" w:rsidP="002D4276">
      <w:pPr>
        <w:pStyle w:val="Paragrafoelenco"/>
        <w:numPr>
          <w:ilvl w:val="0"/>
          <w:numId w:val="15"/>
        </w:numPr>
        <w:jc w:val="both"/>
      </w:pPr>
      <w:r w:rsidRPr="003045E8">
        <w:t>Modifica degli orari di lavoro del personale dipendente;</w:t>
      </w:r>
    </w:p>
    <w:p w14:paraId="103EF1F9" w14:textId="77777777" w:rsidR="003045E8" w:rsidRDefault="004476C3" w:rsidP="002D4276">
      <w:pPr>
        <w:pStyle w:val="Paragrafoelenco"/>
        <w:numPr>
          <w:ilvl w:val="0"/>
          <w:numId w:val="15"/>
        </w:numPr>
        <w:jc w:val="both"/>
      </w:pPr>
      <w:r w:rsidRPr="003045E8">
        <w:t>Comunicato ed informativa al personale in materia di certificazione verde COVID-19 (green pass);</w:t>
      </w:r>
    </w:p>
    <w:p w14:paraId="52534CC5" w14:textId="77777777" w:rsidR="003045E8" w:rsidRDefault="004476C3" w:rsidP="002D4276">
      <w:pPr>
        <w:pStyle w:val="Paragrafoelenco"/>
        <w:numPr>
          <w:ilvl w:val="0"/>
          <w:numId w:val="15"/>
        </w:numPr>
        <w:jc w:val="both"/>
      </w:pPr>
      <w:r w:rsidRPr="003045E8">
        <w:t>Obbligo della certificazione verde COVID-19 per il personale dell’Autorità di Sistema Portuale del Mare Adriatico Settentrionale (AdSP MAS) – Definizione delle modalità operative per l’organizzazione delle verifiche sul possesso della certificazione verde COVID-19 (green pass);</w:t>
      </w:r>
    </w:p>
    <w:p w14:paraId="597A0A4E" w14:textId="5AB0F928" w:rsidR="004476C3" w:rsidRPr="003045E8" w:rsidRDefault="004476C3" w:rsidP="002D4276">
      <w:pPr>
        <w:pStyle w:val="Paragrafoelenco"/>
        <w:numPr>
          <w:ilvl w:val="0"/>
          <w:numId w:val="15"/>
        </w:numPr>
        <w:jc w:val="both"/>
      </w:pPr>
      <w:r w:rsidRPr="003045E8">
        <w:t>Proroga emergenza sanitaria per COVID-19 - Richiamo misure di prevenzione.</w:t>
      </w:r>
    </w:p>
    <w:p w14:paraId="6C425741" w14:textId="616C2048" w:rsidR="004476C3" w:rsidRDefault="004476C3" w:rsidP="004476C3">
      <w:pPr>
        <w:jc w:val="both"/>
      </w:pPr>
      <w:r w:rsidRPr="003045E8">
        <w:t>Tali do</w:t>
      </w:r>
      <w:r>
        <w:t>cumenti sono da considerarsi delle integrazioni al Documento di Valutazione del Rischio dell’AdSP MAS.</w:t>
      </w:r>
    </w:p>
    <w:p w14:paraId="30FA1349" w14:textId="7E140EDA" w:rsidR="004476C3" w:rsidRDefault="004476C3" w:rsidP="004476C3">
      <w:pPr>
        <w:jc w:val="both"/>
      </w:pPr>
      <w:r>
        <w:t>A seguito dell'emergenza SARS-CoV-2, non vi sono state nel 2021 riunioni del Comitato di Igiene e Sicurezza. Tale comitato anche in passato non è stato convocato in quanto si sono privilegiati gli impegni assunti da AdSP in seno al Sistema Operativo Integrato (SOI) ampliando l’azione ispettiva con campagne specifiche e mantenendola anche nei giorni festivi e nell’orario serale e notturno. In prospettiva, per il 2022, compatibilmente con la pandemia in corso, si rivaluterà l’opportunità di coinvolgere nuovamente i soggetti previsti partecipare al Comitato di Igiene e Sicurezza.</w:t>
      </w:r>
    </w:p>
    <w:p w14:paraId="386EF262" w14:textId="022CF0E7" w:rsidR="004476C3" w:rsidRDefault="004476C3" w:rsidP="004476C3">
      <w:pPr>
        <w:jc w:val="both"/>
      </w:pPr>
      <w:r>
        <w:t>Nel corso del 2019 è stato affidato, a seguito di bando e gara d’appalto, il servizio di infermeria portuale prevista dal Protocollo d’Intesa SOI sottoscritto in Prefettura. Nel corso del 2021, a seguito dell'emergenza SARS-CoV-2, non si è potuta continuare l’attività di esercitazione per testare le procedure di intervento condivise con il SUEM118.</w:t>
      </w:r>
    </w:p>
    <w:p w14:paraId="50E42017" w14:textId="0DB6FF73" w:rsidR="004476C3" w:rsidRDefault="004476C3" w:rsidP="004476C3">
      <w:pPr>
        <w:jc w:val="both"/>
      </w:pPr>
      <w:r>
        <w:t>L’area</w:t>
      </w:r>
      <w:r w:rsidR="00250DA2">
        <w:t xml:space="preserve"> Sicurezza, Vigilanza e Controllo di AdSP MAS</w:t>
      </w:r>
      <w:r>
        <w:t xml:space="preserve"> c</w:t>
      </w:r>
      <w:r w:rsidR="00250DA2">
        <w:t>ontribuisce, anche</w:t>
      </w:r>
      <w:r>
        <w:t xml:space="preserve"> con propri formatori, ai corsi organizzati dall’Ente per guide ed accompagnatori turistici e per addetti ai terminal passeggeri. Nel corso del 2021, conseguentemente all’attuale situazione sanitaria correlata al Covid-19, sono stati erogati 3 interventi formativi in modalità di didattica a distanza.</w:t>
      </w:r>
    </w:p>
    <w:p w14:paraId="2DC240C6" w14:textId="61A47D12" w:rsidR="004476C3" w:rsidRDefault="004476C3" w:rsidP="004476C3">
      <w:pPr>
        <w:jc w:val="both"/>
      </w:pPr>
      <w:r>
        <w:t>Nella gestione dell’emergenza sanitaria da SARS CoV-2, il Medico Competente è stato coinvolto nelle attività di prevenzione e protezione adottate. Congiuntamente al Datore di Lavoro delegato ed al Responsabile del Servizio di Prevenzione e Protezione, il Medico Competente ha supportato l’AdSP MAS nella gestione della Sorveglianza Sanitaria e delle varie criticità emerse durante tale periodo. L’attività ha comportato, oltre al già previsto costo per il servizio di assistenza, anche un costo supplementare dovuto al supporto di cui sopra da parte del Medico Competente e a tamponi rapidi antigenici resisi necessari per casi di contatti di personale AdSP con persone affette da COVID-19 per un ammontare di circa € 3.300.</w:t>
      </w:r>
    </w:p>
    <w:p w14:paraId="103BA7BA" w14:textId="4C00534F" w:rsidR="004476C3" w:rsidRDefault="004476C3" w:rsidP="004476C3">
      <w:pPr>
        <w:jc w:val="both"/>
      </w:pPr>
      <w:r>
        <w:t>Per fronteggiare l’emergenza sanitaria da</w:t>
      </w:r>
      <w:r w:rsidR="00250DA2">
        <w:t xml:space="preserve"> SARS CoV-2 sono stati forniti </w:t>
      </w:r>
      <w:r>
        <w:t>specifici Dispositivi di Protezione</w:t>
      </w:r>
      <w:r w:rsidR="00250DA2">
        <w:t xml:space="preserve"> Individuale (DPI) al personale</w:t>
      </w:r>
      <w:r>
        <w:t xml:space="preserve"> dell’AdSP MAS, tra i quali: mascherine </w:t>
      </w:r>
      <w:r w:rsidR="00250DA2">
        <w:t>di protezione FFP2 e mascherine</w:t>
      </w:r>
      <w:r>
        <w:t xml:space="preserve"> di protezione chirurgiche monouso. Il co</w:t>
      </w:r>
      <w:r w:rsidR="00250DA2">
        <w:t>sto sostenuto dall’AdSP MAS, in</w:t>
      </w:r>
      <w:r>
        <w:t xml:space="preserve"> capo all’Area Sicurezza, Vigilanza</w:t>
      </w:r>
      <w:r w:rsidR="00250DA2">
        <w:t xml:space="preserve"> e Controllo per i DPI dedicati</w:t>
      </w:r>
      <w:r>
        <w:t xml:space="preserve"> all’emergenza sanitaria da SARS CoV-2 è stato di € 344,95. Per altri DPI per il personale dell’Ente, la spesa sostenuta è di € 1.340,11.</w:t>
      </w:r>
    </w:p>
    <w:p w14:paraId="60746764" w14:textId="1CA7871B" w:rsidR="004476C3" w:rsidRDefault="004476C3" w:rsidP="004476C3">
      <w:pPr>
        <w:jc w:val="both"/>
      </w:pPr>
      <w:r>
        <w:lastRenderedPageBreak/>
        <w:t>Nel periodo gennaio ÷ maggio 2021 è proseguita la specifica campagna, iniziata il 10/12/2020, per effettuare ogni quindici giorni tamponi rapidi antigenici a tutto il personale che su base volontaria intende</w:t>
      </w:r>
      <w:r w:rsidR="00250DA2">
        <w:t>sse</w:t>
      </w:r>
      <w:r>
        <w:t xml:space="preserve"> aderirvi. Il costo sostenuto per il periodo di competenza nel 2021 ammonta a € 17.257,00. Sono inoltre stati effettuati alcuni tamponi di controllo specifici sul personale per un importo pari a € 335,60.</w:t>
      </w:r>
    </w:p>
    <w:p w14:paraId="6CAF5F23" w14:textId="4D2A102B" w:rsidR="004476C3" w:rsidRDefault="004476C3" w:rsidP="004476C3">
      <w:pPr>
        <w:jc w:val="both"/>
      </w:pPr>
      <w:r>
        <w:t>Nell’ambito delle competenze dell’Area Sicurezza, Vigilanza e Controllo, sempre per fronteggiare l’emergenza sanitaria da SARS CoV-2, sono stati richiesti servizi e forniture ad altre strutture dell’Ente, i cui costi sono stati sostenuti e rendicontati da quest’ultime, competenti per tali attività.</w:t>
      </w:r>
    </w:p>
    <w:p w14:paraId="1EE1AC91" w14:textId="23422C87" w:rsidR="004476C3" w:rsidRDefault="004476C3" w:rsidP="004476C3">
      <w:pPr>
        <w:jc w:val="both"/>
      </w:pPr>
      <w:r>
        <w:t>Nell’ambito delle competenze della Direzione Tecnica, a seguito dell'emanazione nel 2020 di specifiche circolari da parte del Ministero della Salute, inerenti, tra l’altro, precauzioni standard di biosicurezza in riferimento al COVID-19, nel contesto dell’organizzazione del servizio di pulizia delle sedi dell’AdSP MAS, sono proseguite le varie iniziative già avviate nel corso del 2020.</w:t>
      </w:r>
    </w:p>
    <w:p w14:paraId="52A5EB0D" w14:textId="0B6A1C57" w:rsidR="004476C3" w:rsidRDefault="007A1A5C" w:rsidP="004476C3">
      <w:pPr>
        <w:jc w:val="both"/>
      </w:pPr>
      <w:r>
        <w:t>In primo luogo,</w:t>
      </w:r>
      <w:r w:rsidR="004476C3">
        <w:t xml:space="preserve"> è proseguito presso le sedi il programma aggiuntivo di pulizie, con inserimento di un ulteriore presidio a metà giornata, consistente in disinfezione degli ambienti, attraverso utilizzo di detergenti con cloro o alcool, con cadenza giornaliera per gli ambienti aperti all’uso comune delle sedi di AdSPMAS.</w:t>
      </w:r>
    </w:p>
    <w:p w14:paraId="42372A4A" w14:textId="4F2F1105" w:rsidR="004476C3" w:rsidRDefault="004476C3" w:rsidP="004476C3">
      <w:pPr>
        <w:jc w:val="both"/>
      </w:pPr>
      <w:r>
        <w:t>Sono inoltre stati mantenuti i dispenser contenenti gel disinfettante, regolarmente riforniti, presso le parti comuni dei vari piani degli edifici.</w:t>
      </w:r>
    </w:p>
    <w:p w14:paraId="5ADBF1D1" w14:textId="1B27C442" w:rsidR="00A53E3E" w:rsidRDefault="004476C3" w:rsidP="004476C3">
      <w:pPr>
        <w:jc w:val="both"/>
      </w:pPr>
      <w:r>
        <w:t>Infine, in casi specifici, sono stati attivati/vengono attivati interventi specifici e mirati di trattamento disinfettante (con utilizzo di perossido di idrogeno) degli ambienti, in circostanze quali il verificarsi di casi positivi al Covid-19 ed in occasione di eventi particolari quali per esempio concorsi, che prevedono la presenza continuativa per varie ore di più persone.</w:t>
      </w:r>
    </w:p>
    <w:p w14:paraId="786B1F91" w14:textId="023389C6" w:rsidR="00440A5B" w:rsidRPr="00F8380B" w:rsidRDefault="00440A5B" w:rsidP="002D4276">
      <w:pPr>
        <w:pStyle w:val="Titolo2"/>
        <w:numPr>
          <w:ilvl w:val="1"/>
          <w:numId w:val="9"/>
        </w:numPr>
        <w:rPr>
          <w:u w:val="single"/>
        </w:rPr>
      </w:pPr>
      <w:bookmarkStart w:id="9" w:name="_Toc103881176"/>
      <w:r w:rsidRPr="00F8380B">
        <w:rPr>
          <w:u w:val="single"/>
        </w:rPr>
        <w:t>Compilazione della tabella allegata con i dati relativi al traffico di merci e passeggeri per ciascun scalo di competenza e per l’intero sistema portuale sulla base dello schema allegato.</w:t>
      </w:r>
      <w:bookmarkEnd w:id="9"/>
    </w:p>
    <w:p w14:paraId="3960A8B8" w14:textId="79D28A2B" w:rsidR="003727E9" w:rsidRDefault="00440A5B" w:rsidP="00440A5B">
      <w:pPr>
        <w:jc w:val="both"/>
      </w:pPr>
      <w:r>
        <w:t xml:space="preserve"> </w:t>
      </w:r>
      <w:r w:rsidR="003727E9" w:rsidRPr="007961F3">
        <w:t>Vedasi t</w:t>
      </w:r>
      <w:r w:rsidR="007961F3">
        <w:t>abella allegata</w:t>
      </w:r>
    </w:p>
    <w:p w14:paraId="61833F94" w14:textId="6E599E75" w:rsidR="00440A5B" w:rsidRPr="00F8380B" w:rsidRDefault="00440A5B" w:rsidP="002D4276">
      <w:pPr>
        <w:pStyle w:val="Titolo2"/>
        <w:numPr>
          <w:ilvl w:val="1"/>
          <w:numId w:val="9"/>
        </w:numPr>
        <w:rPr>
          <w:u w:val="single"/>
        </w:rPr>
      </w:pPr>
      <w:bookmarkStart w:id="10" w:name="_Toc103881177"/>
      <w:r w:rsidRPr="00F8380B">
        <w:rPr>
          <w:u w:val="single"/>
        </w:rPr>
        <w:t>Indicazione della percentuale relativa alle spese per il personale rispetto alle entrate correnti.</w:t>
      </w:r>
      <w:bookmarkEnd w:id="10"/>
    </w:p>
    <w:p w14:paraId="032AE97C" w14:textId="77777777" w:rsidR="00440A5B" w:rsidRDefault="00440A5B" w:rsidP="00440A5B">
      <w:pPr>
        <w:jc w:val="both"/>
      </w:pPr>
      <w:r>
        <w:t>Nel 2021 la spesa per il personale (categoria 1.1.2 delle uscite) ha compreso le seguenti voci:</w:t>
      </w:r>
    </w:p>
    <w:p w14:paraId="204BEFEC" w14:textId="77777777" w:rsidR="00440A5B" w:rsidRDefault="00440A5B" w:rsidP="00440A5B">
      <w:pPr>
        <w:jc w:val="both"/>
      </w:pPr>
      <w:r>
        <w:t>•</w:t>
      </w:r>
      <w:r>
        <w:tab/>
        <w:t xml:space="preserve">Emolumenti fissi e variabili al personale dipendente compreso il Segretario Generale; </w:t>
      </w:r>
    </w:p>
    <w:p w14:paraId="1C3FFB38" w14:textId="77777777" w:rsidR="00440A5B" w:rsidRDefault="00440A5B" w:rsidP="00440A5B">
      <w:pPr>
        <w:jc w:val="both"/>
      </w:pPr>
      <w:r>
        <w:t>•</w:t>
      </w:r>
      <w:r>
        <w:tab/>
        <w:t xml:space="preserve">Oneri derivanti dalla contrattazione aziendale e da rinnovi contrattuali; </w:t>
      </w:r>
    </w:p>
    <w:p w14:paraId="5D954C96" w14:textId="77777777" w:rsidR="00440A5B" w:rsidRDefault="00440A5B" w:rsidP="00440A5B">
      <w:pPr>
        <w:jc w:val="both"/>
      </w:pPr>
      <w:r>
        <w:t>•</w:t>
      </w:r>
      <w:r>
        <w:tab/>
        <w:t xml:space="preserve">Indennità e rimborso spese per missioni in Italia e all’estero; </w:t>
      </w:r>
    </w:p>
    <w:p w14:paraId="43A80E01" w14:textId="77777777" w:rsidR="00440A5B" w:rsidRDefault="00440A5B" w:rsidP="00440A5B">
      <w:pPr>
        <w:jc w:val="both"/>
      </w:pPr>
      <w:r>
        <w:t>•</w:t>
      </w:r>
      <w:r>
        <w:tab/>
        <w:t>Spese per formazione;</w:t>
      </w:r>
    </w:p>
    <w:p w14:paraId="212E0B57" w14:textId="77777777" w:rsidR="00440A5B" w:rsidRDefault="00440A5B" w:rsidP="00440A5B">
      <w:pPr>
        <w:jc w:val="both"/>
      </w:pPr>
      <w:r>
        <w:t>•</w:t>
      </w:r>
      <w:r>
        <w:tab/>
        <w:t>Oneri previdenziali e assistenziali;</w:t>
      </w:r>
    </w:p>
    <w:p w14:paraId="7E75CD50" w14:textId="77777777" w:rsidR="00440A5B" w:rsidRDefault="00440A5B" w:rsidP="00440A5B">
      <w:pPr>
        <w:jc w:val="both"/>
      </w:pPr>
      <w:r>
        <w:t>•</w:t>
      </w:r>
      <w:r>
        <w:tab/>
        <w:t>Emolumenti a personale non dipendente;</w:t>
      </w:r>
    </w:p>
    <w:p w14:paraId="5C0EDD37" w14:textId="65B0ECD9" w:rsidR="00440A5B" w:rsidRDefault="00440A5B" w:rsidP="00440A5B">
      <w:pPr>
        <w:jc w:val="both"/>
      </w:pPr>
      <w:r>
        <w:t>•</w:t>
      </w:r>
      <w:r>
        <w:tab/>
        <w:t>Altri oneri per il personale compresi buoni pasto.</w:t>
      </w:r>
    </w:p>
    <w:p w14:paraId="7C722D82" w14:textId="38C6CB7C" w:rsidR="0094224D" w:rsidRDefault="00440A5B" w:rsidP="00440A5B">
      <w:pPr>
        <w:jc w:val="both"/>
      </w:pPr>
      <w:r>
        <w:t>L’importo complessivo è riportato nella tabella che segue:</w:t>
      </w:r>
    </w:p>
    <w:p w14:paraId="3D791B3B" w14:textId="77777777" w:rsidR="0094224D" w:rsidRDefault="0094224D">
      <w:r>
        <w:br w:type="page"/>
      </w:r>
    </w:p>
    <w:p w14:paraId="1EA4F139" w14:textId="77777777" w:rsidR="00440A5B" w:rsidRDefault="00440A5B" w:rsidP="00440A5B">
      <w:pPr>
        <w:jc w:val="both"/>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4"/>
        <w:gridCol w:w="3430"/>
      </w:tblGrid>
      <w:tr w:rsidR="003727E9" w:rsidRPr="008022EB" w14:paraId="75617EC7" w14:textId="77777777" w:rsidTr="00C872F7">
        <w:tc>
          <w:tcPr>
            <w:tcW w:w="6204" w:type="dxa"/>
            <w:shd w:val="clear" w:color="auto" w:fill="BFBFBF" w:themeFill="background1" w:themeFillShade="BF"/>
          </w:tcPr>
          <w:p w14:paraId="682FADCA" w14:textId="77777777" w:rsidR="003727E9" w:rsidRPr="003727E9" w:rsidRDefault="003727E9" w:rsidP="006F5F60">
            <w:pPr>
              <w:spacing w:after="0" w:line="360" w:lineRule="auto"/>
              <w:rPr>
                <w:rFonts w:ascii="Times New Roman" w:eastAsia="Times New Roman" w:hAnsi="Times New Roman"/>
                <w:sz w:val="24"/>
                <w:szCs w:val="20"/>
                <w:lang w:eastAsia="it-IT"/>
              </w:rPr>
            </w:pPr>
            <w:r w:rsidRPr="003727E9">
              <w:rPr>
                <w:rFonts w:ascii="Times New Roman" w:eastAsia="Times New Roman" w:hAnsi="Times New Roman"/>
                <w:sz w:val="24"/>
                <w:szCs w:val="20"/>
                <w:lang w:eastAsia="it-IT"/>
              </w:rPr>
              <w:t>A) SPESE PER IL PERSONALE 2021</w:t>
            </w:r>
          </w:p>
        </w:tc>
        <w:tc>
          <w:tcPr>
            <w:tcW w:w="3430" w:type="dxa"/>
            <w:shd w:val="clear" w:color="auto" w:fill="F2F2F2" w:themeFill="background1" w:themeFillShade="F2"/>
          </w:tcPr>
          <w:p w14:paraId="082B04BD" w14:textId="77777777" w:rsidR="003727E9" w:rsidRPr="003727E9" w:rsidRDefault="003727E9" w:rsidP="006F5F60">
            <w:pPr>
              <w:spacing w:after="0" w:line="360" w:lineRule="auto"/>
              <w:jc w:val="right"/>
              <w:rPr>
                <w:rFonts w:ascii="Times New Roman" w:eastAsia="Times New Roman" w:hAnsi="Times New Roman"/>
                <w:sz w:val="24"/>
                <w:szCs w:val="20"/>
                <w:lang w:eastAsia="it-IT"/>
              </w:rPr>
            </w:pPr>
            <w:r w:rsidRPr="003727E9">
              <w:rPr>
                <w:rFonts w:ascii="Times New Roman" w:eastAsia="Times New Roman" w:hAnsi="Times New Roman"/>
                <w:sz w:val="24"/>
                <w:szCs w:val="20"/>
                <w:lang w:eastAsia="it-IT"/>
              </w:rPr>
              <w:t xml:space="preserve">€  6.324.718,65 </w:t>
            </w:r>
          </w:p>
        </w:tc>
      </w:tr>
      <w:tr w:rsidR="003727E9" w:rsidRPr="008022EB" w14:paraId="63D462DA" w14:textId="77777777" w:rsidTr="00C872F7">
        <w:tc>
          <w:tcPr>
            <w:tcW w:w="6204" w:type="dxa"/>
            <w:shd w:val="clear" w:color="auto" w:fill="BFBFBF" w:themeFill="background1" w:themeFillShade="BF"/>
          </w:tcPr>
          <w:p w14:paraId="38499A5F" w14:textId="77777777" w:rsidR="003727E9" w:rsidRPr="003727E9" w:rsidRDefault="003727E9" w:rsidP="006F5F60">
            <w:pPr>
              <w:spacing w:after="0" w:line="360" w:lineRule="auto"/>
              <w:rPr>
                <w:rFonts w:ascii="Times New Roman" w:eastAsia="Times New Roman" w:hAnsi="Times New Roman"/>
                <w:sz w:val="24"/>
                <w:szCs w:val="20"/>
                <w:lang w:eastAsia="it-IT"/>
              </w:rPr>
            </w:pPr>
            <w:r w:rsidRPr="003727E9">
              <w:rPr>
                <w:rFonts w:ascii="Times New Roman" w:eastAsia="Times New Roman" w:hAnsi="Times New Roman"/>
                <w:sz w:val="24"/>
                <w:szCs w:val="20"/>
                <w:lang w:eastAsia="it-IT"/>
              </w:rPr>
              <w:t>B) ENTRATE CORRENTI 2021</w:t>
            </w:r>
          </w:p>
        </w:tc>
        <w:tc>
          <w:tcPr>
            <w:tcW w:w="3430" w:type="dxa"/>
            <w:shd w:val="clear" w:color="auto" w:fill="F2F2F2" w:themeFill="background1" w:themeFillShade="F2"/>
          </w:tcPr>
          <w:p w14:paraId="7AB3EE92" w14:textId="77777777" w:rsidR="003727E9" w:rsidRPr="003727E9" w:rsidRDefault="003727E9" w:rsidP="006F5F60">
            <w:pPr>
              <w:spacing w:after="0" w:line="360" w:lineRule="auto"/>
              <w:jc w:val="right"/>
              <w:rPr>
                <w:rFonts w:ascii="Times New Roman" w:eastAsia="Times New Roman" w:hAnsi="Times New Roman"/>
                <w:sz w:val="24"/>
                <w:szCs w:val="20"/>
                <w:lang w:eastAsia="it-IT"/>
              </w:rPr>
            </w:pPr>
            <w:r w:rsidRPr="003727E9">
              <w:rPr>
                <w:rFonts w:ascii="Times New Roman" w:eastAsia="Times New Roman" w:hAnsi="Times New Roman"/>
                <w:sz w:val="24"/>
                <w:szCs w:val="20"/>
                <w:lang w:eastAsia="it-IT"/>
              </w:rPr>
              <w:t xml:space="preserve">€  50.838.284,21 </w:t>
            </w:r>
          </w:p>
        </w:tc>
      </w:tr>
      <w:tr w:rsidR="003727E9" w:rsidRPr="008022EB" w14:paraId="4404CB21" w14:textId="77777777" w:rsidTr="00C872F7">
        <w:tc>
          <w:tcPr>
            <w:tcW w:w="6204" w:type="dxa"/>
            <w:shd w:val="clear" w:color="auto" w:fill="BFBFBF" w:themeFill="background1" w:themeFillShade="BF"/>
          </w:tcPr>
          <w:p w14:paraId="708480EA" w14:textId="77777777" w:rsidR="003727E9" w:rsidRPr="003727E9" w:rsidRDefault="003727E9" w:rsidP="006F5F60">
            <w:pPr>
              <w:spacing w:after="0" w:line="360" w:lineRule="auto"/>
              <w:rPr>
                <w:rFonts w:ascii="Times New Roman" w:eastAsia="Times New Roman" w:hAnsi="Times New Roman"/>
                <w:b/>
                <w:sz w:val="24"/>
                <w:szCs w:val="20"/>
                <w:lang w:eastAsia="it-IT"/>
              </w:rPr>
            </w:pPr>
            <w:r w:rsidRPr="003727E9">
              <w:rPr>
                <w:rFonts w:ascii="Times New Roman" w:eastAsia="Times New Roman" w:hAnsi="Times New Roman"/>
                <w:b/>
                <w:sz w:val="24"/>
                <w:szCs w:val="20"/>
                <w:lang w:eastAsia="it-IT"/>
              </w:rPr>
              <w:t>RAPPORTO A/B</w:t>
            </w:r>
          </w:p>
        </w:tc>
        <w:tc>
          <w:tcPr>
            <w:tcW w:w="3430" w:type="dxa"/>
            <w:shd w:val="clear" w:color="auto" w:fill="F2F2F2" w:themeFill="background1" w:themeFillShade="F2"/>
          </w:tcPr>
          <w:p w14:paraId="265272A4" w14:textId="77777777" w:rsidR="003727E9" w:rsidRPr="003727E9" w:rsidRDefault="003727E9" w:rsidP="006F5F60">
            <w:pPr>
              <w:spacing w:after="0" w:line="360" w:lineRule="auto"/>
              <w:jc w:val="right"/>
              <w:rPr>
                <w:rFonts w:ascii="Times New Roman" w:eastAsia="Times New Roman" w:hAnsi="Times New Roman"/>
                <w:b/>
                <w:sz w:val="24"/>
                <w:szCs w:val="20"/>
                <w:lang w:eastAsia="it-IT"/>
              </w:rPr>
            </w:pPr>
            <w:r w:rsidRPr="003727E9">
              <w:rPr>
                <w:rFonts w:ascii="Times New Roman" w:eastAsia="Times New Roman" w:hAnsi="Times New Roman"/>
                <w:b/>
                <w:sz w:val="24"/>
                <w:szCs w:val="20"/>
                <w:lang w:eastAsia="it-IT"/>
              </w:rPr>
              <w:t>12,44%</w:t>
            </w:r>
          </w:p>
        </w:tc>
      </w:tr>
    </w:tbl>
    <w:p w14:paraId="0D0CCEA8" w14:textId="27E1E199" w:rsidR="00F67093" w:rsidRDefault="00F67093" w:rsidP="00F8380B">
      <w:pPr>
        <w:jc w:val="both"/>
        <w:rPr>
          <w:u w:val="single"/>
        </w:rPr>
      </w:pPr>
      <w:r>
        <w:rPr>
          <w:noProof/>
          <w:lang w:eastAsia="it-IT"/>
        </w:rPr>
        <mc:AlternateContent>
          <mc:Choice Requires="wps">
            <w:drawing>
              <wp:anchor distT="0" distB="0" distL="114300" distR="114300" simplePos="0" relativeHeight="251685888" behindDoc="0" locked="0" layoutInCell="1" allowOverlap="1" wp14:anchorId="41E354D9" wp14:editId="082AB004">
                <wp:simplePos x="0" y="0"/>
                <wp:positionH relativeFrom="margin">
                  <wp:align>left</wp:align>
                </wp:positionH>
                <wp:positionV relativeFrom="paragraph">
                  <wp:posOffset>-5184</wp:posOffset>
                </wp:positionV>
                <wp:extent cx="6121021" cy="253365"/>
                <wp:effectExtent l="0" t="0" r="13335" b="13335"/>
                <wp:wrapNone/>
                <wp:docPr id="20" name="Casella di testo 20"/>
                <wp:cNvGraphicFramePr/>
                <a:graphic xmlns:a="http://schemas.openxmlformats.org/drawingml/2006/main">
                  <a:graphicData uri="http://schemas.microsoft.com/office/word/2010/wordprocessingShape">
                    <wps:wsp>
                      <wps:cNvSpPr txBox="1"/>
                      <wps:spPr>
                        <a:xfrm>
                          <a:off x="0" y="0"/>
                          <a:ext cx="6121021" cy="25336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E10B177" w14:textId="19F56255" w:rsidR="00250DA2" w:rsidRPr="00A549AF" w:rsidRDefault="00250DA2" w:rsidP="00250DA2">
                            <w:pPr>
                              <w:rPr>
                                <w:sz w:val="16"/>
                                <w:szCs w:val="16"/>
                              </w:rPr>
                            </w:pPr>
                            <w:r>
                              <w:rPr>
                                <w:sz w:val="16"/>
                                <w:szCs w:val="16"/>
                              </w:rPr>
                              <w:t xml:space="preserve">Tab. </w:t>
                            </w:r>
                            <w:r w:rsidR="00B51AFE">
                              <w:rPr>
                                <w:sz w:val="16"/>
                                <w:szCs w:val="16"/>
                              </w:rPr>
                              <w:t>9</w:t>
                            </w:r>
                            <w:r>
                              <w:rPr>
                                <w:sz w:val="16"/>
                                <w:szCs w:val="16"/>
                              </w:rPr>
                              <w:t xml:space="preserve">: </w:t>
                            </w:r>
                            <w:r w:rsidRPr="00250DA2">
                              <w:rPr>
                                <w:sz w:val="16"/>
                                <w:szCs w:val="16"/>
                              </w:rPr>
                              <w:t>percentuale relativa alle spese per il personale rispetto alle entrate correnti.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41E354D9" id="Casella di testo 20" o:spid="_x0000_s1033" type="#_x0000_t202" style="position:absolute;left:0;text-align:left;margin-left:0;margin-top:-.4pt;width:481.95pt;height:19.95pt;z-index:2516858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" fillcolor="white [3201]" strokeweight=".5pt">
                <v:textbox>
                  <w:txbxContent>
                    <w:p w14:paraId="4E10B177" w14:textId="19F56255" w:rsidR="00250DA2" w:rsidRPr="00A549AF" w:rsidRDefault="00250DA2" w:rsidP="00250DA2">
                      <w:pPr>
                        <w:rPr>
                          <w:sz w:val="16"/>
                          <w:szCs w:val="16"/>
                        </w:rPr>
                      </w:pPr>
                      <w:r>
                        <w:rPr>
                          <w:sz w:val="16"/>
                          <w:szCs w:val="16"/>
                        </w:rPr>
                        <w:t xml:space="preserve">Tab. </w:t>
                      </w:r>
                      <w:r w:rsidR="00B51AFE">
                        <w:rPr>
                          <w:sz w:val="16"/>
                          <w:szCs w:val="16"/>
                        </w:rPr>
                        <w:t>9</w:t>
                      </w:r>
                      <w:r>
                        <w:rPr>
                          <w:sz w:val="16"/>
                          <w:szCs w:val="16"/>
                        </w:rPr>
                        <w:t xml:space="preserve">: </w:t>
                      </w:r>
                      <w:r w:rsidRPr="00250DA2">
                        <w:rPr>
                          <w:sz w:val="16"/>
                          <w:szCs w:val="16"/>
                        </w:rPr>
                        <w:t>percentuale relativa alle spese per il personale rispetto alle entrate correnti.</w:t>
                      </w:r>
                    </w:p>
                  </w:txbxContent>
                </v:textbox>
                <w10:wrap anchorx="margin"/>
              </v:shape>
            </w:pict>
          </mc:Fallback>
        </mc:AlternateContent>
      </w:r>
    </w:p>
    <w:p w14:paraId="5D43D791" w14:textId="677252DD" w:rsidR="00F8380B" w:rsidRDefault="00F8380B" w:rsidP="00F8380B">
      <w:pPr>
        <w:jc w:val="both"/>
        <w:rPr>
          <w:u w:val="single"/>
        </w:rPr>
      </w:pPr>
    </w:p>
    <w:p w14:paraId="5CDCE7EB" w14:textId="5462A8BB" w:rsidR="003727E9" w:rsidRPr="00F8380B" w:rsidRDefault="003727E9" w:rsidP="002D4276">
      <w:pPr>
        <w:pStyle w:val="Titolo2"/>
        <w:numPr>
          <w:ilvl w:val="1"/>
          <w:numId w:val="9"/>
        </w:numPr>
        <w:rPr>
          <w:u w:val="single"/>
        </w:rPr>
      </w:pPr>
      <w:bookmarkStart w:id="11" w:name="_Toc103881178"/>
      <w:r w:rsidRPr="00F8380B">
        <w:rPr>
          <w:u w:val="single"/>
        </w:rPr>
        <w:t>Indicazione della percentuale relativa alla spesa per la contrattazione di secondo livello rispetto alla spesa per il personale.</w:t>
      </w:r>
      <w:bookmarkEnd w:id="11"/>
    </w:p>
    <w:p w14:paraId="5D6621FC" w14:textId="21B9F7B7" w:rsidR="00440A5B" w:rsidRDefault="003727E9" w:rsidP="003727E9">
      <w:pPr>
        <w:jc w:val="both"/>
      </w:pPr>
      <w:r>
        <w:t>L’importo relativo alle spese per la contrattazione di secondo livello del 2021 è riportato nella tabella che segue:</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4"/>
        <w:gridCol w:w="3430"/>
      </w:tblGrid>
      <w:tr w:rsidR="003727E9" w:rsidRPr="003727E9" w14:paraId="03A0B6D8" w14:textId="77777777" w:rsidTr="00781A08">
        <w:tc>
          <w:tcPr>
            <w:tcW w:w="6204" w:type="dxa"/>
            <w:shd w:val="clear" w:color="auto" w:fill="BFBFBF" w:themeFill="background1" w:themeFillShade="BF"/>
          </w:tcPr>
          <w:p w14:paraId="2D0C6DED" w14:textId="77777777" w:rsidR="003727E9" w:rsidRPr="003727E9" w:rsidRDefault="003727E9" w:rsidP="006F5F60">
            <w:pPr>
              <w:spacing w:after="0" w:line="360" w:lineRule="auto"/>
              <w:rPr>
                <w:rFonts w:ascii="Times New Roman" w:eastAsia="Times New Roman" w:hAnsi="Times New Roman"/>
                <w:sz w:val="24"/>
                <w:szCs w:val="20"/>
                <w:lang w:eastAsia="it-IT"/>
              </w:rPr>
            </w:pPr>
            <w:r w:rsidRPr="003727E9">
              <w:rPr>
                <w:rFonts w:ascii="Times New Roman" w:eastAsia="Times New Roman" w:hAnsi="Times New Roman"/>
                <w:sz w:val="24"/>
                <w:szCs w:val="20"/>
                <w:lang w:eastAsia="it-IT"/>
              </w:rPr>
              <w:t>A) SPESE PER LA CONTRATTAZIONE DI SECONDO LIVELLO 2021 (cap. 112.23 delle uscite)</w:t>
            </w:r>
          </w:p>
        </w:tc>
        <w:tc>
          <w:tcPr>
            <w:tcW w:w="3430" w:type="dxa"/>
            <w:shd w:val="clear" w:color="auto" w:fill="D9D9D9" w:themeFill="background1" w:themeFillShade="D9"/>
          </w:tcPr>
          <w:p w14:paraId="50E1DB23" w14:textId="77777777" w:rsidR="003727E9" w:rsidRPr="003727E9" w:rsidRDefault="003727E9" w:rsidP="006F5F60">
            <w:pPr>
              <w:spacing w:after="0" w:line="360" w:lineRule="auto"/>
              <w:jc w:val="right"/>
              <w:rPr>
                <w:rFonts w:ascii="Times New Roman" w:eastAsia="Times New Roman" w:hAnsi="Times New Roman"/>
                <w:sz w:val="24"/>
                <w:szCs w:val="20"/>
                <w:lang w:eastAsia="it-IT"/>
              </w:rPr>
            </w:pPr>
            <w:r w:rsidRPr="003727E9">
              <w:rPr>
                <w:rFonts w:ascii="Times New Roman" w:eastAsia="Times New Roman" w:hAnsi="Times New Roman"/>
                <w:sz w:val="24"/>
                <w:szCs w:val="20"/>
                <w:lang w:eastAsia="it-IT"/>
              </w:rPr>
              <w:t xml:space="preserve">€ 744.211,40 </w:t>
            </w:r>
          </w:p>
        </w:tc>
      </w:tr>
      <w:tr w:rsidR="003727E9" w:rsidRPr="003727E9" w14:paraId="4E115ABD" w14:textId="77777777" w:rsidTr="00781A08">
        <w:tc>
          <w:tcPr>
            <w:tcW w:w="6204" w:type="dxa"/>
            <w:shd w:val="clear" w:color="auto" w:fill="BFBFBF" w:themeFill="background1" w:themeFillShade="BF"/>
          </w:tcPr>
          <w:p w14:paraId="479329E0" w14:textId="77777777" w:rsidR="003727E9" w:rsidRPr="003727E9" w:rsidRDefault="003727E9" w:rsidP="006F5F60">
            <w:pPr>
              <w:spacing w:after="0" w:line="360" w:lineRule="auto"/>
              <w:rPr>
                <w:rFonts w:ascii="Times New Roman" w:eastAsia="Times New Roman" w:hAnsi="Times New Roman"/>
                <w:sz w:val="24"/>
                <w:szCs w:val="20"/>
                <w:lang w:eastAsia="it-IT"/>
              </w:rPr>
            </w:pPr>
            <w:r w:rsidRPr="003727E9">
              <w:rPr>
                <w:rFonts w:ascii="Times New Roman" w:eastAsia="Times New Roman" w:hAnsi="Times New Roman"/>
                <w:sz w:val="24"/>
                <w:szCs w:val="20"/>
                <w:lang w:eastAsia="it-IT"/>
              </w:rPr>
              <w:t>B) SPESE PER IL PERSONALE 2021</w:t>
            </w:r>
          </w:p>
        </w:tc>
        <w:tc>
          <w:tcPr>
            <w:tcW w:w="3430" w:type="dxa"/>
            <w:shd w:val="clear" w:color="auto" w:fill="D9D9D9" w:themeFill="background1" w:themeFillShade="D9"/>
          </w:tcPr>
          <w:p w14:paraId="73BA530F" w14:textId="77777777" w:rsidR="003727E9" w:rsidRPr="003727E9" w:rsidRDefault="003727E9" w:rsidP="006F5F60">
            <w:pPr>
              <w:spacing w:after="0" w:line="360" w:lineRule="auto"/>
              <w:jc w:val="right"/>
              <w:rPr>
                <w:rFonts w:ascii="Times New Roman" w:eastAsia="Times New Roman" w:hAnsi="Times New Roman"/>
                <w:sz w:val="24"/>
                <w:szCs w:val="20"/>
                <w:lang w:eastAsia="it-IT"/>
              </w:rPr>
            </w:pPr>
            <w:r w:rsidRPr="003727E9">
              <w:rPr>
                <w:rFonts w:ascii="Times New Roman" w:eastAsia="Times New Roman" w:hAnsi="Times New Roman"/>
                <w:sz w:val="24"/>
                <w:szCs w:val="20"/>
                <w:lang w:eastAsia="it-IT"/>
              </w:rPr>
              <w:t>€  6.324.718,65</w:t>
            </w:r>
          </w:p>
        </w:tc>
      </w:tr>
      <w:tr w:rsidR="003727E9" w:rsidRPr="003727E9" w14:paraId="65CD65FE" w14:textId="77777777" w:rsidTr="00781A08">
        <w:tc>
          <w:tcPr>
            <w:tcW w:w="6204" w:type="dxa"/>
            <w:shd w:val="clear" w:color="auto" w:fill="BFBFBF" w:themeFill="background1" w:themeFillShade="BF"/>
          </w:tcPr>
          <w:p w14:paraId="0F508A5F" w14:textId="77777777" w:rsidR="003727E9" w:rsidRPr="003727E9" w:rsidRDefault="003727E9" w:rsidP="006F5F60">
            <w:pPr>
              <w:spacing w:after="0" w:line="360" w:lineRule="auto"/>
              <w:rPr>
                <w:rFonts w:ascii="Times New Roman" w:eastAsia="Times New Roman" w:hAnsi="Times New Roman"/>
                <w:b/>
                <w:sz w:val="24"/>
                <w:szCs w:val="20"/>
                <w:lang w:eastAsia="it-IT"/>
              </w:rPr>
            </w:pPr>
            <w:r w:rsidRPr="003727E9">
              <w:rPr>
                <w:rFonts w:ascii="Times New Roman" w:eastAsia="Times New Roman" w:hAnsi="Times New Roman"/>
                <w:b/>
                <w:sz w:val="24"/>
                <w:szCs w:val="20"/>
                <w:lang w:eastAsia="it-IT"/>
              </w:rPr>
              <w:t>RAPPORTO A/B</w:t>
            </w:r>
          </w:p>
        </w:tc>
        <w:tc>
          <w:tcPr>
            <w:tcW w:w="3430" w:type="dxa"/>
            <w:shd w:val="clear" w:color="auto" w:fill="D9D9D9" w:themeFill="background1" w:themeFillShade="D9"/>
          </w:tcPr>
          <w:p w14:paraId="1FD9137D" w14:textId="77777777" w:rsidR="003727E9" w:rsidRPr="003727E9" w:rsidRDefault="003727E9" w:rsidP="006F5F60">
            <w:pPr>
              <w:spacing w:after="0" w:line="360" w:lineRule="auto"/>
              <w:jc w:val="right"/>
              <w:rPr>
                <w:rFonts w:ascii="Times New Roman" w:eastAsia="Times New Roman" w:hAnsi="Times New Roman"/>
                <w:b/>
                <w:sz w:val="24"/>
                <w:szCs w:val="20"/>
                <w:lang w:eastAsia="it-IT"/>
              </w:rPr>
            </w:pPr>
            <w:r w:rsidRPr="003727E9">
              <w:rPr>
                <w:rFonts w:ascii="Times New Roman" w:eastAsia="Times New Roman" w:hAnsi="Times New Roman"/>
                <w:b/>
                <w:sz w:val="24"/>
                <w:szCs w:val="20"/>
                <w:lang w:eastAsia="it-IT"/>
              </w:rPr>
              <w:t>11,77%</w:t>
            </w:r>
          </w:p>
        </w:tc>
      </w:tr>
    </w:tbl>
    <w:p w14:paraId="0CBFC2B9" w14:textId="4E4592DA" w:rsidR="00F67093" w:rsidRDefault="00F67093" w:rsidP="00782261">
      <w:pPr>
        <w:jc w:val="both"/>
      </w:pPr>
      <w:r>
        <w:rPr>
          <w:noProof/>
          <w:lang w:eastAsia="it-IT"/>
        </w:rPr>
        <mc:AlternateContent>
          <mc:Choice Requires="wps">
            <w:drawing>
              <wp:anchor distT="0" distB="0" distL="114300" distR="114300" simplePos="0" relativeHeight="251687936" behindDoc="0" locked="0" layoutInCell="1" allowOverlap="1" wp14:anchorId="5F12C0A1" wp14:editId="7E8FC013">
                <wp:simplePos x="0" y="0"/>
                <wp:positionH relativeFrom="margin">
                  <wp:posOffset>5080</wp:posOffset>
                </wp:positionH>
                <wp:positionV relativeFrom="paragraph">
                  <wp:posOffset>2701</wp:posOffset>
                </wp:positionV>
                <wp:extent cx="6094238" cy="253365"/>
                <wp:effectExtent l="0" t="0" r="20955" b="13335"/>
                <wp:wrapNone/>
                <wp:docPr id="21" name="Casella di testo 21"/>
                <wp:cNvGraphicFramePr/>
                <a:graphic xmlns:a="http://schemas.openxmlformats.org/drawingml/2006/main">
                  <a:graphicData uri="http://schemas.microsoft.com/office/word/2010/wordprocessingShape">
                    <wps:wsp>
                      <wps:cNvSpPr txBox="1"/>
                      <wps:spPr>
                        <a:xfrm>
                          <a:off x="0" y="0"/>
                          <a:ext cx="6094238" cy="25336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12BB529" w14:textId="63D0CD29" w:rsidR="00250DA2" w:rsidRPr="00A549AF" w:rsidRDefault="00250DA2" w:rsidP="00250DA2">
                            <w:pPr>
                              <w:rPr>
                                <w:sz w:val="16"/>
                                <w:szCs w:val="16"/>
                              </w:rPr>
                            </w:pPr>
                            <w:r>
                              <w:rPr>
                                <w:sz w:val="16"/>
                                <w:szCs w:val="16"/>
                              </w:rPr>
                              <w:t>Tab. 1</w:t>
                            </w:r>
                            <w:r w:rsidR="00B51AFE">
                              <w:rPr>
                                <w:sz w:val="16"/>
                                <w:szCs w:val="16"/>
                              </w:rPr>
                              <w:t>0</w:t>
                            </w:r>
                            <w:r>
                              <w:rPr>
                                <w:sz w:val="16"/>
                                <w:szCs w:val="16"/>
                              </w:rPr>
                              <w:t xml:space="preserve">: </w:t>
                            </w:r>
                            <w:r w:rsidRPr="00250DA2">
                              <w:rPr>
                                <w:sz w:val="16"/>
                                <w:szCs w:val="16"/>
                              </w:rPr>
                              <w:t>percentuale relativa alla spesa per la contrattazione di secondo livello rispetto alla spesa per il personale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5F12C0A1" id="Casella di testo 21" o:spid="_x0000_s1034" type="#_x0000_t202" style="position:absolute;left:0;text-align:left;margin-left:.4pt;margin-top:.2pt;width:479.85pt;height:19.9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" fillcolor="white [3201]" strokeweight=".5pt">
                <v:textbox>
                  <w:txbxContent>
                    <w:p w14:paraId="412BB529" w14:textId="63D0CD29" w:rsidR="00250DA2" w:rsidRPr="00A549AF" w:rsidRDefault="00250DA2" w:rsidP="00250DA2">
                      <w:pPr>
                        <w:rPr>
                          <w:sz w:val="16"/>
                          <w:szCs w:val="16"/>
                        </w:rPr>
                      </w:pPr>
                      <w:r>
                        <w:rPr>
                          <w:sz w:val="16"/>
                          <w:szCs w:val="16"/>
                        </w:rPr>
                        <w:t>Tab. 1</w:t>
                      </w:r>
                      <w:r w:rsidR="00B51AFE">
                        <w:rPr>
                          <w:sz w:val="16"/>
                          <w:szCs w:val="16"/>
                        </w:rPr>
                        <w:t>0</w:t>
                      </w:r>
                      <w:r>
                        <w:rPr>
                          <w:sz w:val="16"/>
                          <w:szCs w:val="16"/>
                        </w:rPr>
                        <w:t xml:space="preserve">: </w:t>
                      </w:r>
                      <w:r w:rsidRPr="00250DA2">
                        <w:rPr>
                          <w:sz w:val="16"/>
                          <w:szCs w:val="16"/>
                        </w:rPr>
                        <w:t>percentuale relativa alla spesa per la contrattazione di secondo livello rispetto alla spesa per il personale</w:t>
                      </w:r>
                    </w:p>
                  </w:txbxContent>
                </v:textbox>
                <w10:wrap anchorx="margin"/>
              </v:shape>
            </w:pict>
          </mc:Fallback>
        </mc:AlternateContent>
      </w:r>
    </w:p>
    <w:p w14:paraId="5A4B3A48" w14:textId="2273C47C" w:rsidR="00440A5B" w:rsidRDefault="00440A5B" w:rsidP="00782261">
      <w:pPr>
        <w:jc w:val="both"/>
      </w:pPr>
    </w:p>
    <w:p w14:paraId="07B51318" w14:textId="3028843A" w:rsidR="003727E9" w:rsidRPr="00F8380B" w:rsidRDefault="003727E9" w:rsidP="002D4276">
      <w:pPr>
        <w:pStyle w:val="Titolo2"/>
        <w:numPr>
          <w:ilvl w:val="1"/>
          <w:numId w:val="9"/>
        </w:numPr>
        <w:rPr>
          <w:u w:val="single"/>
        </w:rPr>
      </w:pPr>
      <w:bookmarkStart w:id="12" w:name="_Toc103881179"/>
      <w:r w:rsidRPr="00F8380B">
        <w:rPr>
          <w:u w:val="single"/>
        </w:rPr>
        <w:t>Compilazione della scheda allegata relativa all’indicazione della percentuale relativa alla spesa, in conto competenza e in conto residui, per l’avanzamento delle opere infrastrutturali rispetto alle uscite in conto capitale, in conto competenza e in conto residui.</w:t>
      </w:r>
      <w:bookmarkEnd w:id="12"/>
    </w:p>
    <w:p w14:paraId="2CE30685" w14:textId="48AA331F" w:rsidR="00440A5B" w:rsidRDefault="003727E9" w:rsidP="003727E9">
      <w:pPr>
        <w:jc w:val="both"/>
      </w:pPr>
      <w:r>
        <w:t>Vedasi Tabella allegata</w:t>
      </w:r>
    </w:p>
    <w:p w14:paraId="50C19F53" w14:textId="2F0A1F80" w:rsidR="003727E9" w:rsidRDefault="003727E9" w:rsidP="00782261">
      <w:pPr>
        <w:jc w:val="both"/>
      </w:pPr>
    </w:p>
    <w:p w14:paraId="32673E01" w14:textId="289B2A44" w:rsidR="003727E9" w:rsidRDefault="003727E9" w:rsidP="00782261">
      <w:pPr>
        <w:jc w:val="both"/>
      </w:pPr>
    </w:p>
    <w:p w14:paraId="63B135D6" w14:textId="206B495B" w:rsidR="003727E9" w:rsidRDefault="003727E9" w:rsidP="00782261">
      <w:pPr>
        <w:jc w:val="both"/>
      </w:pPr>
    </w:p>
    <w:p w14:paraId="4EE9F024" w14:textId="7FAE64E0" w:rsidR="003727E9" w:rsidRDefault="003727E9" w:rsidP="00782261">
      <w:pPr>
        <w:jc w:val="both"/>
      </w:pPr>
    </w:p>
    <w:p w14:paraId="6060D05F" w14:textId="7D26B509" w:rsidR="003727E9" w:rsidRDefault="003727E9" w:rsidP="00782261">
      <w:pPr>
        <w:jc w:val="both"/>
      </w:pPr>
    </w:p>
    <w:p w14:paraId="50FC0305" w14:textId="6F0CAE41" w:rsidR="003727E9" w:rsidRDefault="003727E9" w:rsidP="00782261">
      <w:pPr>
        <w:jc w:val="both"/>
      </w:pPr>
    </w:p>
    <w:p w14:paraId="5485F2D7" w14:textId="31C20C6E" w:rsidR="003727E9" w:rsidRDefault="003727E9" w:rsidP="00782261">
      <w:pPr>
        <w:jc w:val="both"/>
      </w:pPr>
    </w:p>
    <w:p w14:paraId="7C63A821" w14:textId="163607D5" w:rsidR="003727E9" w:rsidRDefault="003727E9" w:rsidP="00782261">
      <w:pPr>
        <w:jc w:val="both"/>
      </w:pPr>
    </w:p>
    <w:p w14:paraId="31D72403" w14:textId="258D5252" w:rsidR="003727E9" w:rsidRDefault="003727E9" w:rsidP="00782261">
      <w:pPr>
        <w:jc w:val="both"/>
      </w:pPr>
    </w:p>
    <w:p w14:paraId="399BD55A" w14:textId="2A54B510" w:rsidR="003727E9" w:rsidRDefault="003727E9" w:rsidP="00782261">
      <w:pPr>
        <w:jc w:val="both"/>
      </w:pPr>
    </w:p>
    <w:p w14:paraId="1E4C8296" w14:textId="783A815E" w:rsidR="003727E9" w:rsidRDefault="003727E9" w:rsidP="00782261">
      <w:pPr>
        <w:jc w:val="both"/>
      </w:pPr>
    </w:p>
    <w:p w14:paraId="7781F1ED" w14:textId="4F2AF7D3" w:rsidR="003727E9" w:rsidRDefault="003727E9" w:rsidP="00782261">
      <w:pPr>
        <w:jc w:val="both"/>
      </w:pPr>
    </w:p>
    <w:p w14:paraId="355663D3" w14:textId="77777777" w:rsidR="00451E40" w:rsidRPr="00F8380B" w:rsidRDefault="00CF6D83" w:rsidP="002D4276">
      <w:pPr>
        <w:pStyle w:val="Titolo1"/>
        <w:numPr>
          <w:ilvl w:val="0"/>
          <w:numId w:val="9"/>
        </w:numPr>
        <w:rPr>
          <w:b/>
          <w:bCs/>
        </w:rPr>
      </w:pPr>
      <w:bookmarkStart w:id="13" w:name="_Toc103881180"/>
      <w:r w:rsidRPr="00F8380B">
        <w:rPr>
          <w:b/>
          <w:bCs/>
        </w:rPr>
        <w:lastRenderedPageBreak/>
        <w:t>Attività svolte in ambito portuale</w:t>
      </w:r>
      <w:bookmarkEnd w:id="13"/>
    </w:p>
    <w:p w14:paraId="35511E40" w14:textId="5649B039" w:rsidR="00ED33C8" w:rsidRPr="00F8380B" w:rsidRDefault="00CF6D83" w:rsidP="002D4276">
      <w:pPr>
        <w:pStyle w:val="Titolo2"/>
        <w:numPr>
          <w:ilvl w:val="1"/>
          <w:numId w:val="9"/>
        </w:numPr>
        <w:rPr>
          <w:b/>
          <w:bCs/>
          <w:u w:val="single"/>
        </w:rPr>
      </w:pPr>
      <w:bookmarkStart w:id="14" w:name="_Toc103881181"/>
      <w:r w:rsidRPr="00F8380B">
        <w:rPr>
          <w:u w:val="single"/>
        </w:rPr>
        <w:t>Articoli 16, 17 e 18 della legge n. 84/94</w:t>
      </w:r>
      <w:bookmarkEnd w:id="14"/>
    </w:p>
    <w:p w14:paraId="3D9EDA32" w14:textId="161FC9CF" w:rsidR="00CF6D83" w:rsidRPr="00F8380B" w:rsidRDefault="00CF6D83" w:rsidP="002D4276">
      <w:pPr>
        <w:pStyle w:val="Titolo3"/>
        <w:numPr>
          <w:ilvl w:val="2"/>
          <w:numId w:val="9"/>
        </w:numPr>
        <w:rPr>
          <w:b/>
          <w:bCs/>
          <w:u w:val="single"/>
        </w:rPr>
      </w:pPr>
      <w:bookmarkStart w:id="15" w:name="_Toc103881182"/>
      <w:r w:rsidRPr="00F8380B">
        <w:rPr>
          <w:u w:val="single"/>
        </w:rPr>
        <w:t>Notizie sulla revisione annuale del Piano Organico del Porto</w:t>
      </w:r>
      <w:bookmarkEnd w:id="15"/>
      <w:r w:rsidRPr="00F8380B">
        <w:rPr>
          <w:u w:val="single"/>
        </w:rPr>
        <w:t xml:space="preserve"> </w:t>
      </w:r>
    </w:p>
    <w:p w14:paraId="12257D45" w14:textId="77777777" w:rsidR="00CF6D83" w:rsidRDefault="00CF6D83" w:rsidP="00CF6D83">
      <w:pPr>
        <w:jc w:val="both"/>
      </w:pPr>
      <w:r>
        <w:t>Il documento del Piano dell’Organico del Porto del Porti di Venezia e Chioggia per gli anni 2021-2023 è stato adottato a seguito parere favorevole delle Commissioni Consultive del porto di Venezia e del porto di Chioggia (in data 09/03/2022) e con delibera del Comitato di Gestione del 21/03/2022.</w:t>
      </w:r>
    </w:p>
    <w:p w14:paraId="43437005" w14:textId="77777777" w:rsidR="00CF6D83" w:rsidRDefault="00CF6D83" w:rsidP="00CF6D83">
      <w:pPr>
        <w:jc w:val="both"/>
      </w:pPr>
      <w:r>
        <w:t>La redazione del Piano è stata avviata ad inizio del 2021, ma, a causa della incertezza legata agli eventi pandemici, i terminal hanno risposto tardivamente alle richieste relative ai prospetti occupazionali.</w:t>
      </w:r>
    </w:p>
    <w:p w14:paraId="0D2D5340" w14:textId="2E435520" w:rsidR="00CF6D83" w:rsidRDefault="00CF6D83" w:rsidP="00CF6D83">
      <w:pPr>
        <w:jc w:val="both"/>
      </w:pPr>
      <w:r>
        <w:t xml:space="preserve">Nell’ambito del Piano e sulla scorta dei </w:t>
      </w:r>
      <w:r w:rsidR="007A1A5C">
        <w:t>fabbisogni</w:t>
      </w:r>
      <w:r>
        <w:t xml:space="preserve"> rappresentati dai soggetti autorizzati ai sensi dell’art. 16 Legge n. 84/1994, AdSP ha previsto per i soggetti di cui all’art. 17 stessa Legge, percorsi di formazione specializzante al fine di elevare il livello di competenza e professionalità dei lavoratori portuali, da finanziare attraverso i fondi di cui all’art. 17 comma 15 bis, riconoscendo alle società 190,00 euro per ogni giornata non lavorata e dedicata all’attività formativa, a titolo di contributo a compensazione del mancato avviamento al lavoro del personale operativo.</w:t>
      </w:r>
    </w:p>
    <w:p w14:paraId="1EDF7327" w14:textId="674CA426" w:rsidR="00CF6D83" w:rsidRPr="00F8380B" w:rsidRDefault="00CF6D83" w:rsidP="002D4276">
      <w:pPr>
        <w:pStyle w:val="Titolo3"/>
        <w:numPr>
          <w:ilvl w:val="2"/>
          <w:numId w:val="9"/>
        </w:numPr>
        <w:rPr>
          <w:u w:val="single"/>
        </w:rPr>
      </w:pPr>
      <w:bookmarkStart w:id="16" w:name="_Toc103881183"/>
      <w:r w:rsidRPr="00F8380B">
        <w:rPr>
          <w:u w:val="single"/>
        </w:rPr>
        <w:t>Notizie di carattere generale su eventuali criticità verificatesi, su eventuali nuovi rilasci di autorizzazioni o concessioni e sui provvedimenti di sospensione/revoca delle stesse.</w:t>
      </w:r>
      <w:bookmarkEnd w:id="16"/>
    </w:p>
    <w:p w14:paraId="7D515BC8" w14:textId="77777777" w:rsidR="00CF6D83" w:rsidRDefault="00CF6D83" w:rsidP="00CF6D83">
      <w:pPr>
        <w:jc w:val="both"/>
      </w:pPr>
      <w:r>
        <w:t>Tutti i soggetti autorizzati nel 2020 all’esercizio di operazioni e servizi portuali si sono avvalsi della proroga ex lege della propria autorizzazione per l’anno 2021.</w:t>
      </w:r>
    </w:p>
    <w:p w14:paraId="42939841" w14:textId="77777777" w:rsidR="00ED33C8" w:rsidRDefault="00CF6D83" w:rsidP="00CF6D83">
      <w:pPr>
        <w:jc w:val="both"/>
      </w:pPr>
      <w:r>
        <w:t>Nel corso del 2021 sono inoltre state rilasciate due nuove autorizzazioni:</w:t>
      </w:r>
    </w:p>
    <w:p w14:paraId="5A90067C" w14:textId="77777777" w:rsidR="00ED33C8" w:rsidRDefault="00CF6D83" w:rsidP="002D4276">
      <w:pPr>
        <w:pStyle w:val="Paragrafoelenco"/>
        <w:numPr>
          <w:ilvl w:val="0"/>
          <w:numId w:val="6"/>
        </w:numPr>
        <w:jc w:val="both"/>
      </w:pPr>
      <w:r>
        <w:t>autorizzazione all’esercizio di operazioni portuali ai sensi dell’art. 16 e relativa concessione ai sensi dell’art. 18 alla società Veneta Cementi l’attività di sbarco in conto proprio via nave di cemento sfuso per la successiva commercializzazione;</w:t>
      </w:r>
    </w:p>
    <w:p w14:paraId="0AF63C3C" w14:textId="77777777" w:rsidR="00ED33C8" w:rsidRDefault="00CF6D83" w:rsidP="002D4276">
      <w:pPr>
        <w:pStyle w:val="Paragrafoelenco"/>
        <w:numPr>
          <w:ilvl w:val="0"/>
          <w:numId w:val="6"/>
        </w:numPr>
        <w:jc w:val="both"/>
      </w:pPr>
      <w:r>
        <w:t xml:space="preserve">autorizzazione alla società la società MAGLI INTERMODAL SERVICE S.R.L. per l’espletamento dei seguenti servizi portuali: </w:t>
      </w:r>
    </w:p>
    <w:p w14:paraId="7FFCB7D2" w14:textId="77777777" w:rsidR="00ED33C8" w:rsidRDefault="00CF6D83" w:rsidP="002D4276">
      <w:pPr>
        <w:pStyle w:val="Paragrafoelenco"/>
        <w:numPr>
          <w:ilvl w:val="1"/>
          <w:numId w:val="6"/>
        </w:numPr>
        <w:jc w:val="both"/>
      </w:pPr>
      <w:r>
        <w:t>Riempimento e svuotamento container/semirimorchi e attività inerenti e conseguenti;</w:t>
      </w:r>
    </w:p>
    <w:p w14:paraId="37F6E182" w14:textId="77777777" w:rsidR="00ED33C8" w:rsidRDefault="00CF6D83" w:rsidP="002D4276">
      <w:pPr>
        <w:pStyle w:val="Paragrafoelenco"/>
        <w:numPr>
          <w:ilvl w:val="1"/>
          <w:numId w:val="6"/>
        </w:numPr>
        <w:jc w:val="both"/>
      </w:pPr>
      <w:r>
        <w:t>Trasporto rinfuse polverulente con autocarri telonati tra sottobordo nave e magazzino/piazzale interno al terminal;</w:t>
      </w:r>
    </w:p>
    <w:p w14:paraId="07516AE8" w14:textId="77777777" w:rsidR="00ED33C8" w:rsidRDefault="00CF6D83" w:rsidP="002D4276">
      <w:pPr>
        <w:pStyle w:val="Paragrafoelenco"/>
        <w:numPr>
          <w:ilvl w:val="1"/>
          <w:numId w:val="6"/>
        </w:numPr>
        <w:jc w:val="both"/>
      </w:pPr>
      <w:r>
        <w:t>Vagliatura di merci alla rinfusa (ad es. carbone) e lavorazione di merci senza trasformazione (es. frantumazione).</w:t>
      </w:r>
    </w:p>
    <w:p w14:paraId="3F15488F" w14:textId="109F54EA" w:rsidR="00CF6D83" w:rsidRPr="00F8380B" w:rsidRDefault="00CF6D83" w:rsidP="002D4276">
      <w:pPr>
        <w:pStyle w:val="Titolo3"/>
        <w:numPr>
          <w:ilvl w:val="2"/>
          <w:numId w:val="9"/>
        </w:numPr>
        <w:rPr>
          <w:u w:val="single"/>
        </w:rPr>
      </w:pPr>
      <w:bookmarkStart w:id="17" w:name="_Toc103881184"/>
      <w:r w:rsidRPr="00F8380B">
        <w:rPr>
          <w:u w:val="single"/>
        </w:rPr>
        <w:t>Notizie in merito all’applicazione art. 199, comma 1, lett. b) del decreto legge n. 34/2020, conv. in legge n. 77/2020.</w:t>
      </w:r>
      <w:bookmarkEnd w:id="17"/>
    </w:p>
    <w:p w14:paraId="2E8D7988" w14:textId="77777777" w:rsidR="00CF6D83" w:rsidRDefault="00CF6D83" w:rsidP="00CF6D83">
      <w:pPr>
        <w:jc w:val="both"/>
      </w:pPr>
      <w:r>
        <w:t xml:space="preserve">L’art. 199 del D.L. 34/2020 (“Decreto Rilancio”), come modificato dalla legge 178 del 2020, ha previsto anche per il 2021 specifiche misure per rispondere al calo dei traffici portuali causati dall’emergenza Covid-19. AdSPMAS ha ritenuto opportuno corrispondere ai soggetti fornitori di lavoro portuale di cui all’art. 17 legge 84/1994 e ss.mm.ii un contributo finalizzato a fronteggiare le mutate condizioni economiche degli scali di Venezia e Chioggia. </w:t>
      </w:r>
    </w:p>
    <w:p w14:paraId="047C193F" w14:textId="77777777" w:rsidR="00CF6D83" w:rsidRDefault="00CF6D83" w:rsidP="00CF6D83">
      <w:pPr>
        <w:jc w:val="both"/>
      </w:pPr>
      <w:r>
        <w:t>Nel 2021 sono stati erogati ad entrambi i soggetti autorizzati ai sensi dell’art. 17 (Nuova CLP a Venezia e Serviport a Chioggia) i contributi previsti dall’art. 199 comma 1 lettera b) del decreto legge n. 34/2020 convertito in legge n. 77/2020. Suddetti contributi sono stati calcolati ed erogati ogni trimestre sulla scorta del numero di minori giornate lavorate nel 2021 rispetto al 2019. In particolare:</w:t>
      </w:r>
    </w:p>
    <w:p w14:paraId="7F6E7A3D" w14:textId="77777777" w:rsidR="00ED33C8" w:rsidRDefault="00CF6D83" w:rsidP="002D4276">
      <w:pPr>
        <w:pStyle w:val="Paragrafoelenco"/>
        <w:numPr>
          <w:ilvl w:val="0"/>
          <w:numId w:val="7"/>
        </w:numPr>
        <w:jc w:val="both"/>
      </w:pPr>
      <w:r>
        <w:t>per Nuova CLP il minor numero di giornate lavorate è stato 3.363 ed il relativo contributo è stato di € 302.670,00.</w:t>
      </w:r>
    </w:p>
    <w:p w14:paraId="35B43695" w14:textId="28C8BD74" w:rsidR="00CF6D83" w:rsidRDefault="00CF6D83" w:rsidP="002D4276">
      <w:pPr>
        <w:pStyle w:val="Paragrafoelenco"/>
        <w:numPr>
          <w:ilvl w:val="0"/>
          <w:numId w:val="7"/>
        </w:numPr>
        <w:jc w:val="both"/>
      </w:pPr>
      <w:r>
        <w:lastRenderedPageBreak/>
        <w:t>per Serviport il minor numero di giornate lavorate è stato di 1.620 ed il relativo contributo è stato di € 145.800,00.</w:t>
      </w:r>
    </w:p>
    <w:p w14:paraId="3818D6F8" w14:textId="77777777" w:rsidR="00ED33C8" w:rsidRDefault="00ED33C8" w:rsidP="00ED33C8">
      <w:pPr>
        <w:pStyle w:val="Paragrafoelenco"/>
        <w:jc w:val="both"/>
      </w:pPr>
    </w:p>
    <w:p w14:paraId="5D9EC4D9" w14:textId="61BA7464" w:rsidR="00CF6D83" w:rsidRPr="00F8380B" w:rsidRDefault="00CF6D83" w:rsidP="002D4276">
      <w:pPr>
        <w:pStyle w:val="Titolo3"/>
        <w:numPr>
          <w:ilvl w:val="2"/>
          <w:numId w:val="9"/>
        </w:numPr>
        <w:rPr>
          <w:u w:val="single"/>
        </w:rPr>
      </w:pPr>
      <w:bookmarkStart w:id="18" w:name="_Toc103881185"/>
      <w:r w:rsidRPr="00F8380B">
        <w:rPr>
          <w:u w:val="single"/>
        </w:rPr>
        <w:t>Notizie in merito all’attività di formazione prevista dal comma 8 dell’articolo 17.</w:t>
      </w:r>
      <w:bookmarkEnd w:id="18"/>
    </w:p>
    <w:p w14:paraId="52EC7A0D" w14:textId="2EF2A70E" w:rsidR="003727E9" w:rsidRDefault="00CF6D83" w:rsidP="00CF6D83">
      <w:pPr>
        <w:jc w:val="both"/>
      </w:pPr>
      <w:r>
        <w:t>I due soggetti autorizzati ai sensi dell’art. 17 nei porti di Venezia e Chioggia nel corso del 2021 hanno promosso attività formative, a causa della crisi economica in cui versavano. Non sono stati in grado di erogare ai propri lavoratori nemmeno all’attività formativa obbligatoria prevista ai sensi degli accordi stato-regioni. In tale ambito (si veda paragrafo successivo) è intervenuta AdSP.</w:t>
      </w:r>
    </w:p>
    <w:tbl>
      <w:tblPr>
        <w:tblW w:w="8880" w:type="dxa"/>
        <w:tblCellMar>
          <w:left w:w="70" w:type="dxa"/>
          <w:right w:w="70" w:type="dxa"/>
        </w:tblCellMar>
        <w:tblLook w:val="04A0" w:firstRow="1" w:lastRow="0" w:firstColumn="1" w:lastColumn="0" w:noHBand="0" w:noVBand="1"/>
      </w:tblPr>
      <w:tblGrid>
        <w:gridCol w:w="6480"/>
        <w:gridCol w:w="2400"/>
      </w:tblGrid>
      <w:tr w:rsidR="00ED33C8" w:rsidRPr="007A0F74" w14:paraId="1CA3F831" w14:textId="77777777" w:rsidTr="0094224D">
        <w:trPr>
          <w:trHeight w:val="375"/>
        </w:trPr>
        <w:tc>
          <w:tcPr>
            <w:tcW w:w="8880" w:type="dxa"/>
            <w:gridSpan w:val="2"/>
            <w:tcBorders>
              <w:top w:val="single" w:sz="4" w:space="0" w:color="auto"/>
              <w:left w:val="single" w:sz="4" w:space="0" w:color="auto"/>
              <w:bottom w:val="single" w:sz="4" w:space="0" w:color="203764"/>
              <w:right w:val="single" w:sz="4" w:space="0" w:color="auto"/>
            </w:tcBorders>
            <w:shd w:val="clear" w:color="auto" w:fill="BFBFBF" w:themeFill="background1" w:themeFillShade="BF"/>
            <w:noWrap/>
            <w:vAlign w:val="bottom"/>
            <w:hideMark/>
          </w:tcPr>
          <w:p w14:paraId="3464DDF6" w14:textId="77777777" w:rsidR="00ED33C8" w:rsidRPr="007A0F74" w:rsidRDefault="00ED33C8" w:rsidP="006F5F60">
            <w:pPr>
              <w:spacing w:after="0" w:line="240" w:lineRule="auto"/>
              <w:jc w:val="center"/>
              <w:rPr>
                <w:rFonts w:ascii="Calibri" w:eastAsia="Times New Roman" w:hAnsi="Calibri" w:cs="Calibri"/>
                <w:b/>
                <w:bCs/>
                <w:color w:val="FFFFFF"/>
                <w:sz w:val="28"/>
                <w:szCs w:val="28"/>
                <w:lang w:eastAsia="it-IT"/>
              </w:rPr>
            </w:pPr>
            <w:r w:rsidRPr="008F7DA1">
              <w:rPr>
                <w:rFonts w:ascii="Calibri" w:eastAsia="Times New Roman" w:hAnsi="Calibri" w:cs="Calibri"/>
                <w:b/>
                <w:bCs/>
                <w:sz w:val="28"/>
                <w:szCs w:val="28"/>
                <w:lang w:eastAsia="it-IT"/>
              </w:rPr>
              <w:t>Quadro riassuntivo formazione art. 17 NUOVA CLP - anno 2021</w:t>
            </w:r>
          </w:p>
        </w:tc>
      </w:tr>
      <w:tr w:rsidR="00ED33C8" w:rsidRPr="007A0F74" w14:paraId="4C541EF0" w14:textId="77777777" w:rsidTr="0094224D">
        <w:trPr>
          <w:trHeight w:val="315"/>
        </w:trPr>
        <w:tc>
          <w:tcPr>
            <w:tcW w:w="6480" w:type="dxa"/>
            <w:tcBorders>
              <w:top w:val="nil"/>
              <w:left w:val="single" w:sz="4" w:space="0" w:color="auto"/>
              <w:bottom w:val="nil"/>
              <w:right w:val="single" w:sz="4" w:space="0" w:color="203764"/>
            </w:tcBorders>
            <w:shd w:val="clear" w:color="auto" w:fill="D9D9D9" w:themeFill="background1" w:themeFillShade="D9"/>
            <w:vAlign w:val="center"/>
            <w:hideMark/>
          </w:tcPr>
          <w:p w14:paraId="597530C3" w14:textId="77777777" w:rsidR="00ED33C8" w:rsidRPr="008F7DA1" w:rsidRDefault="00ED33C8" w:rsidP="006F5F60">
            <w:pPr>
              <w:spacing w:after="0" w:line="240" w:lineRule="auto"/>
              <w:rPr>
                <w:rFonts w:ascii="Calibri" w:eastAsia="Times New Roman" w:hAnsi="Calibri" w:cs="Calibri"/>
                <w:b/>
                <w:bCs/>
                <w:sz w:val="24"/>
                <w:szCs w:val="24"/>
                <w:lang w:eastAsia="it-IT"/>
              </w:rPr>
            </w:pPr>
            <w:r w:rsidRPr="008F7DA1">
              <w:rPr>
                <w:rFonts w:ascii="Calibri" w:eastAsia="Times New Roman" w:hAnsi="Calibri" w:cs="Calibri"/>
                <w:b/>
                <w:bCs/>
                <w:sz w:val="24"/>
                <w:szCs w:val="24"/>
                <w:lang w:eastAsia="it-IT"/>
              </w:rPr>
              <w:t>TIPO DI FORMAZIONE</w:t>
            </w:r>
          </w:p>
        </w:tc>
        <w:tc>
          <w:tcPr>
            <w:tcW w:w="2400" w:type="dxa"/>
            <w:tcBorders>
              <w:top w:val="nil"/>
              <w:left w:val="nil"/>
              <w:bottom w:val="single" w:sz="4" w:space="0" w:color="203764"/>
              <w:right w:val="single" w:sz="4" w:space="0" w:color="auto"/>
            </w:tcBorders>
            <w:shd w:val="clear" w:color="auto" w:fill="D9D9D9" w:themeFill="background1" w:themeFillShade="D9"/>
            <w:vAlign w:val="center"/>
            <w:hideMark/>
          </w:tcPr>
          <w:p w14:paraId="7FDC952F" w14:textId="77777777" w:rsidR="00ED33C8" w:rsidRPr="008F7DA1" w:rsidRDefault="00ED33C8" w:rsidP="006F5F60">
            <w:pPr>
              <w:spacing w:after="0" w:line="240" w:lineRule="auto"/>
              <w:jc w:val="right"/>
              <w:rPr>
                <w:rFonts w:ascii="Calibri" w:eastAsia="Times New Roman" w:hAnsi="Calibri" w:cs="Calibri"/>
                <w:b/>
                <w:bCs/>
                <w:sz w:val="24"/>
                <w:szCs w:val="24"/>
                <w:lang w:eastAsia="it-IT"/>
              </w:rPr>
            </w:pPr>
            <w:r w:rsidRPr="008F7DA1">
              <w:rPr>
                <w:rFonts w:ascii="Calibri" w:eastAsia="Times New Roman" w:hAnsi="Calibri" w:cs="Calibri"/>
                <w:b/>
                <w:bCs/>
                <w:sz w:val="24"/>
                <w:szCs w:val="24"/>
                <w:lang w:eastAsia="it-IT"/>
              </w:rPr>
              <w:t xml:space="preserve">N. di ore </w:t>
            </w:r>
          </w:p>
        </w:tc>
      </w:tr>
      <w:tr w:rsidR="00ED33C8" w:rsidRPr="007A0F74" w14:paraId="0C2536CA" w14:textId="77777777" w:rsidTr="0094224D">
        <w:trPr>
          <w:trHeight w:val="315"/>
        </w:trPr>
        <w:tc>
          <w:tcPr>
            <w:tcW w:w="6480" w:type="dxa"/>
            <w:tcBorders>
              <w:top w:val="single" w:sz="4" w:space="0" w:color="203764"/>
              <w:left w:val="single" w:sz="4" w:space="0" w:color="auto"/>
              <w:bottom w:val="single" w:sz="4" w:space="0" w:color="203764"/>
              <w:right w:val="single" w:sz="4" w:space="0" w:color="203764"/>
            </w:tcBorders>
            <w:shd w:val="clear" w:color="auto" w:fill="D9D9D9" w:themeFill="background1" w:themeFillShade="D9"/>
            <w:vAlign w:val="center"/>
            <w:hideMark/>
          </w:tcPr>
          <w:p w14:paraId="5233C88F" w14:textId="77777777" w:rsidR="00ED33C8" w:rsidRPr="008F7DA1" w:rsidRDefault="00ED33C8" w:rsidP="006F5F60">
            <w:pPr>
              <w:spacing w:after="0" w:line="240" w:lineRule="auto"/>
              <w:rPr>
                <w:rFonts w:ascii="Calibri" w:eastAsia="Times New Roman" w:hAnsi="Calibri" w:cs="Calibri"/>
                <w:sz w:val="24"/>
                <w:szCs w:val="24"/>
                <w:lang w:eastAsia="it-IT"/>
              </w:rPr>
            </w:pPr>
            <w:r w:rsidRPr="008F7DA1">
              <w:rPr>
                <w:rFonts w:ascii="Calibri" w:eastAsia="Times New Roman" w:hAnsi="Calibri" w:cs="Calibri"/>
                <w:sz w:val="24"/>
                <w:szCs w:val="24"/>
                <w:lang w:eastAsia="it-IT"/>
              </w:rPr>
              <w:t>Affiancamenti aziendali</w:t>
            </w:r>
          </w:p>
        </w:tc>
        <w:tc>
          <w:tcPr>
            <w:tcW w:w="2400" w:type="dxa"/>
            <w:tcBorders>
              <w:top w:val="nil"/>
              <w:left w:val="nil"/>
              <w:bottom w:val="single" w:sz="4" w:space="0" w:color="203764"/>
              <w:right w:val="single" w:sz="4" w:space="0" w:color="auto"/>
            </w:tcBorders>
            <w:shd w:val="clear" w:color="auto" w:fill="D9D9D9" w:themeFill="background1" w:themeFillShade="D9"/>
            <w:vAlign w:val="center"/>
            <w:hideMark/>
          </w:tcPr>
          <w:p w14:paraId="27A1FAF4" w14:textId="77777777" w:rsidR="00ED33C8" w:rsidRPr="008F7DA1" w:rsidRDefault="00ED33C8" w:rsidP="006F5F60">
            <w:pPr>
              <w:spacing w:after="0" w:line="240" w:lineRule="auto"/>
              <w:jc w:val="right"/>
              <w:rPr>
                <w:rFonts w:ascii="Calibri" w:eastAsia="Times New Roman" w:hAnsi="Calibri" w:cs="Calibri"/>
                <w:sz w:val="24"/>
                <w:szCs w:val="24"/>
                <w:lang w:eastAsia="it-IT"/>
              </w:rPr>
            </w:pPr>
            <w:r w:rsidRPr="008F7DA1">
              <w:rPr>
                <w:rFonts w:ascii="Calibri" w:eastAsia="Times New Roman" w:hAnsi="Calibri" w:cs="Calibri"/>
                <w:sz w:val="24"/>
                <w:szCs w:val="24"/>
                <w:lang w:eastAsia="it-IT"/>
              </w:rPr>
              <w:t>288</w:t>
            </w:r>
          </w:p>
        </w:tc>
      </w:tr>
      <w:tr w:rsidR="00ED33C8" w:rsidRPr="007A0F74" w14:paraId="4CE0B297" w14:textId="77777777" w:rsidTr="0094224D">
        <w:trPr>
          <w:trHeight w:val="315"/>
        </w:trPr>
        <w:tc>
          <w:tcPr>
            <w:tcW w:w="6480" w:type="dxa"/>
            <w:tcBorders>
              <w:top w:val="nil"/>
              <w:left w:val="single" w:sz="4" w:space="0" w:color="auto"/>
              <w:bottom w:val="single" w:sz="4" w:space="0" w:color="203764"/>
              <w:right w:val="single" w:sz="4" w:space="0" w:color="203764"/>
            </w:tcBorders>
            <w:shd w:val="clear" w:color="auto" w:fill="D9D9D9" w:themeFill="background1" w:themeFillShade="D9"/>
            <w:vAlign w:val="center"/>
            <w:hideMark/>
          </w:tcPr>
          <w:p w14:paraId="0AB39630" w14:textId="77777777" w:rsidR="00ED33C8" w:rsidRPr="008F7DA1" w:rsidRDefault="00ED33C8" w:rsidP="006F5F60">
            <w:pPr>
              <w:spacing w:after="0" w:line="240" w:lineRule="auto"/>
              <w:rPr>
                <w:rFonts w:ascii="Calibri" w:eastAsia="Times New Roman" w:hAnsi="Calibri" w:cs="Calibri"/>
                <w:sz w:val="24"/>
                <w:szCs w:val="24"/>
                <w:lang w:eastAsia="it-IT"/>
              </w:rPr>
            </w:pPr>
            <w:r w:rsidRPr="008F7DA1">
              <w:rPr>
                <w:rFonts w:ascii="Calibri" w:eastAsia="Times New Roman" w:hAnsi="Calibri" w:cs="Calibri"/>
                <w:sz w:val="24"/>
                <w:szCs w:val="24"/>
                <w:lang w:eastAsia="it-IT"/>
              </w:rPr>
              <w:t>Formazione sul campo</w:t>
            </w:r>
          </w:p>
        </w:tc>
        <w:tc>
          <w:tcPr>
            <w:tcW w:w="2400" w:type="dxa"/>
            <w:tcBorders>
              <w:top w:val="nil"/>
              <w:left w:val="nil"/>
              <w:bottom w:val="single" w:sz="4" w:space="0" w:color="203764"/>
              <w:right w:val="single" w:sz="4" w:space="0" w:color="auto"/>
            </w:tcBorders>
            <w:shd w:val="clear" w:color="auto" w:fill="D9D9D9" w:themeFill="background1" w:themeFillShade="D9"/>
            <w:vAlign w:val="center"/>
            <w:hideMark/>
          </w:tcPr>
          <w:p w14:paraId="269568C2" w14:textId="77777777" w:rsidR="00ED33C8" w:rsidRPr="008F7DA1" w:rsidRDefault="00ED33C8" w:rsidP="006F5F60">
            <w:pPr>
              <w:spacing w:after="0" w:line="240" w:lineRule="auto"/>
              <w:jc w:val="right"/>
              <w:rPr>
                <w:rFonts w:ascii="Calibri" w:eastAsia="Times New Roman" w:hAnsi="Calibri" w:cs="Calibri"/>
                <w:sz w:val="24"/>
                <w:szCs w:val="24"/>
                <w:lang w:eastAsia="it-IT"/>
              </w:rPr>
            </w:pPr>
            <w:r w:rsidRPr="008F7DA1">
              <w:rPr>
                <w:rFonts w:ascii="Calibri" w:eastAsia="Times New Roman" w:hAnsi="Calibri" w:cs="Calibri"/>
                <w:sz w:val="24"/>
                <w:szCs w:val="24"/>
                <w:lang w:eastAsia="it-IT"/>
              </w:rPr>
              <w:t>0</w:t>
            </w:r>
          </w:p>
        </w:tc>
      </w:tr>
      <w:tr w:rsidR="00ED33C8" w:rsidRPr="007A0F74" w14:paraId="0257D486" w14:textId="77777777" w:rsidTr="0094224D">
        <w:trPr>
          <w:trHeight w:val="315"/>
        </w:trPr>
        <w:tc>
          <w:tcPr>
            <w:tcW w:w="6480" w:type="dxa"/>
            <w:tcBorders>
              <w:top w:val="nil"/>
              <w:left w:val="single" w:sz="4" w:space="0" w:color="auto"/>
              <w:bottom w:val="single" w:sz="4" w:space="0" w:color="203764"/>
              <w:right w:val="single" w:sz="4" w:space="0" w:color="203764"/>
            </w:tcBorders>
            <w:shd w:val="clear" w:color="auto" w:fill="D9D9D9" w:themeFill="background1" w:themeFillShade="D9"/>
            <w:vAlign w:val="center"/>
            <w:hideMark/>
          </w:tcPr>
          <w:p w14:paraId="63303C12" w14:textId="77777777" w:rsidR="00ED33C8" w:rsidRPr="008F7DA1" w:rsidRDefault="00ED33C8" w:rsidP="006F5F60">
            <w:pPr>
              <w:spacing w:after="0" w:line="240" w:lineRule="auto"/>
              <w:rPr>
                <w:rFonts w:ascii="Calibri" w:eastAsia="Times New Roman" w:hAnsi="Calibri" w:cs="Calibri"/>
                <w:sz w:val="24"/>
                <w:szCs w:val="24"/>
                <w:lang w:eastAsia="it-IT"/>
              </w:rPr>
            </w:pPr>
            <w:r w:rsidRPr="008F7DA1">
              <w:rPr>
                <w:rFonts w:ascii="Calibri" w:eastAsia="Times New Roman" w:hAnsi="Calibri" w:cs="Calibri"/>
                <w:sz w:val="24"/>
                <w:szCs w:val="24"/>
                <w:lang w:eastAsia="it-IT"/>
              </w:rPr>
              <w:t>Corsi merci pericolose</w:t>
            </w:r>
          </w:p>
        </w:tc>
        <w:tc>
          <w:tcPr>
            <w:tcW w:w="2400" w:type="dxa"/>
            <w:tcBorders>
              <w:top w:val="nil"/>
              <w:left w:val="nil"/>
              <w:bottom w:val="single" w:sz="4" w:space="0" w:color="203764"/>
              <w:right w:val="single" w:sz="4" w:space="0" w:color="auto"/>
            </w:tcBorders>
            <w:shd w:val="clear" w:color="auto" w:fill="D9D9D9" w:themeFill="background1" w:themeFillShade="D9"/>
            <w:vAlign w:val="center"/>
            <w:hideMark/>
          </w:tcPr>
          <w:p w14:paraId="4C7D69FC" w14:textId="77777777" w:rsidR="00ED33C8" w:rsidRPr="008F7DA1" w:rsidRDefault="00ED33C8" w:rsidP="006F5F60">
            <w:pPr>
              <w:spacing w:after="0" w:line="240" w:lineRule="auto"/>
              <w:jc w:val="right"/>
              <w:rPr>
                <w:rFonts w:ascii="Calibri" w:eastAsia="Times New Roman" w:hAnsi="Calibri" w:cs="Calibri"/>
                <w:sz w:val="24"/>
                <w:szCs w:val="24"/>
                <w:lang w:eastAsia="it-IT"/>
              </w:rPr>
            </w:pPr>
            <w:r w:rsidRPr="008F7DA1">
              <w:rPr>
                <w:rFonts w:ascii="Calibri" w:eastAsia="Times New Roman" w:hAnsi="Calibri" w:cs="Calibri"/>
                <w:sz w:val="24"/>
                <w:szCs w:val="24"/>
                <w:lang w:eastAsia="it-IT"/>
              </w:rPr>
              <w:t>0</w:t>
            </w:r>
          </w:p>
        </w:tc>
      </w:tr>
      <w:tr w:rsidR="00ED33C8" w:rsidRPr="007A0F74" w14:paraId="6B7E479B" w14:textId="77777777" w:rsidTr="0094224D">
        <w:trPr>
          <w:trHeight w:val="315"/>
        </w:trPr>
        <w:tc>
          <w:tcPr>
            <w:tcW w:w="6480" w:type="dxa"/>
            <w:tcBorders>
              <w:top w:val="nil"/>
              <w:left w:val="single" w:sz="4" w:space="0" w:color="auto"/>
              <w:bottom w:val="single" w:sz="4" w:space="0" w:color="203764"/>
              <w:right w:val="single" w:sz="4" w:space="0" w:color="203764"/>
            </w:tcBorders>
            <w:shd w:val="clear" w:color="auto" w:fill="D9D9D9" w:themeFill="background1" w:themeFillShade="D9"/>
            <w:vAlign w:val="center"/>
            <w:hideMark/>
          </w:tcPr>
          <w:p w14:paraId="7E80C256" w14:textId="77777777" w:rsidR="00ED33C8" w:rsidRPr="008F7DA1" w:rsidRDefault="00ED33C8" w:rsidP="006F5F60">
            <w:pPr>
              <w:spacing w:after="0" w:line="240" w:lineRule="auto"/>
              <w:rPr>
                <w:rFonts w:ascii="Calibri" w:eastAsia="Times New Roman" w:hAnsi="Calibri" w:cs="Calibri"/>
                <w:sz w:val="24"/>
                <w:szCs w:val="24"/>
                <w:lang w:eastAsia="it-IT"/>
              </w:rPr>
            </w:pPr>
            <w:r w:rsidRPr="008F7DA1">
              <w:rPr>
                <w:rFonts w:ascii="Calibri" w:eastAsia="Times New Roman" w:hAnsi="Calibri" w:cs="Calibri"/>
                <w:sz w:val="24"/>
                <w:szCs w:val="24"/>
                <w:lang w:eastAsia="it-IT"/>
              </w:rPr>
              <w:t>Formazione ex accordi stato-regioni</w:t>
            </w:r>
          </w:p>
        </w:tc>
        <w:tc>
          <w:tcPr>
            <w:tcW w:w="2400" w:type="dxa"/>
            <w:tcBorders>
              <w:top w:val="nil"/>
              <w:left w:val="nil"/>
              <w:bottom w:val="single" w:sz="4" w:space="0" w:color="203764"/>
              <w:right w:val="single" w:sz="4" w:space="0" w:color="auto"/>
            </w:tcBorders>
            <w:shd w:val="clear" w:color="auto" w:fill="D9D9D9" w:themeFill="background1" w:themeFillShade="D9"/>
            <w:vAlign w:val="center"/>
            <w:hideMark/>
          </w:tcPr>
          <w:p w14:paraId="2CAC5D26" w14:textId="77777777" w:rsidR="00ED33C8" w:rsidRPr="008F7DA1" w:rsidRDefault="00ED33C8" w:rsidP="006F5F60">
            <w:pPr>
              <w:spacing w:after="0" w:line="240" w:lineRule="auto"/>
              <w:jc w:val="right"/>
              <w:rPr>
                <w:rFonts w:ascii="Calibri" w:eastAsia="Times New Roman" w:hAnsi="Calibri" w:cs="Calibri"/>
                <w:sz w:val="24"/>
                <w:szCs w:val="24"/>
                <w:lang w:eastAsia="it-IT"/>
              </w:rPr>
            </w:pPr>
            <w:r w:rsidRPr="008F7DA1">
              <w:rPr>
                <w:rFonts w:ascii="Calibri" w:eastAsia="Times New Roman" w:hAnsi="Calibri" w:cs="Calibri"/>
                <w:sz w:val="24"/>
                <w:szCs w:val="24"/>
                <w:lang w:eastAsia="it-IT"/>
              </w:rPr>
              <w:t>1.988</w:t>
            </w:r>
          </w:p>
        </w:tc>
      </w:tr>
      <w:tr w:rsidR="00ED33C8" w:rsidRPr="007A0F74" w14:paraId="63E6478A" w14:textId="77777777" w:rsidTr="0094224D">
        <w:trPr>
          <w:trHeight w:val="315"/>
        </w:trPr>
        <w:tc>
          <w:tcPr>
            <w:tcW w:w="6480" w:type="dxa"/>
            <w:tcBorders>
              <w:top w:val="nil"/>
              <w:left w:val="single" w:sz="4" w:space="0" w:color="auto"/>
              <w:bottom w:val="single" w:sz="4" w:space="0" w:color="203764"/>
              <w:right w:val="single" w:sz="4" w:space="0" w:color="203764"/>
            </w:tcBorders>
            <w:shd w:val="clear" w:color="auto" w:fill="D9D9D9" w:themeFill="background1" w:themeFillShade="D9"/>
            <w:vAlign w:val="center"/>
            <w:hideMark/>
          </w:tcPr>
          <w:p w14:paraId="668DE61D" w14:textId="77777777" w:rsidR="00ED33C8" w:rsidRPr="008F7DA1" w:rsidRDefault="00ED33C8" w:rsidP="006F5F60">
            <w:pPr>
              <w:spacing w:after="0" w:line="240" w:lineRule="auto"/>
              <w:rPr>
                <w:rFonts w:ascii="Calibri" w:eastAsia="Times New Roman" w:hAnsi="Calibri" w:cs="Calibri"/>
                <w:sz w:val="24"/>
                <w:szCs w:val="24"/>
                <w:lang w:eastAsia="it-IT"/>
              </w:rPr>
            </w:pPr>
            <w:r w:rsidRPr="008F7DA1">
              <w:rPr>
                <w:rFonts w:ascii="Calibri" w:eastAsia="Times New Roman" w:hAnsi="Calibri" w:cs="Calibri"/>
                <w:sz w:val="24"/>
                <w:szCs w:val="24"/>
                <w:lang w:eastAsia="it-IT"/>
              </w:rPr>
              <w:t>Formazione RSPP+ RLS</w:t>
            </w:r>
          </w:p>
        </w:tc>
        <w:tc>
          <w:tcPr>
            <w:tcW w:w="2400" w:type="dxa"/>
            <w:tcBorders>
              <w:top w:val="nil"/>
              <w:left w:val="nil"/>
              <w:bottom w:val="single" w:sz="4" w:space="0" w:color="203764"/>
              <w:right w:val="single" w:sz="4" w:space="0" w:color="auto"/>
            </w:tcBorders>
            <w:shd w:val="clear" w:color="auto" w:fill="D9D9D9" w:themeFill="background1" w:themeFillShade="D9"/>
            <w:vAlign w:val="center"/>
            <w:hideMark/>
          </w:tcPr>
          <w:p w14:paraId="6CC1DA72" w14:textId="77777777" w:rsidR="00ED33C8" w:rsidRPr="008F7DA1" w:rsidRDefault="00ED33C8" w:rsidP="006F5F60">
            <w:pPr>
              <w:spacing w:after="0" w:line="240" w:lineRule="auto"/>
              <w:jc w:val="right"/>
              <w:rPr>
                <w:rFonts w:ascii="Calibri" w:eastAsia="Times New Roman" w:hAnsi="Calibri" w:cs="Calibri"/>
                <w:sz w:val="24"/>
                <w:szCs w:val="24"/>
                <w:lang w:eastAsia="it-IT"/>
              </w:rPr>
            </w:pPr>
            <w:r w:rsidRPr="008F7DA1">
              <w:rPr>
                <w:rFonts w:ascii="Calibri" w:eastAsia="Times New Roman" w:hAnsi="Calibri" w:cs="Calibri"/>
                <w:sz w:val="24"/>
                <w:szCs w:val="24"/>
                <w:lang w:eastAsia="it-IT"/>
              </w:rPr>
              <w:t>48</w:t>
            </w:r>
          </w:p>
        </w:tc>
      </w:tr>
      <w:tr w:rsidR="00ED33C8" w:rsidRPr="007A0F74" w14:paraId="7A1A9543" w14:textId="77777777" w:rsidTr="0094224D">
        <w:trPr>
          <w:trHeight w:val="315"/>
        </w:trPr>
        <w:tc>
          <w:tcPr>
            <w:tcW w:w="6480" w:type="dxa"/>
            <w:tcBorders>
              <w:top w:val="nil"/>
              <w:left w:val="single" w:sz="4" w:space="0" w:color="auto"/>
              <w:bottom w:val="single" w:sz="4" w:space="0" w:color="203764"/>
              <w:right w:val="single" w:sz="4" w:space="0" w:color="203764"/>
            </w:tcBorders>
            <w:shd w:val="clear" w:color="auto" w:fill="D9D9D9" w:themeFill="background1" w:themeFillShade="D9"/>
            <w:vAlign w:val="center"/>
            <w:hideMark/>
          </w:tcPr>
          <w:p w14:paraId="14536A5A" w14:textId="77777777" w:rsidR="00ED33C8" w:rsidRPr="008F7DA1" w:rsidRDefault="00ED33C8" w:rsidP="006F5F60">
            <w:pPr>
              <w:spacing w:after="0" w:line="240" w:lineRule="auto"/>
              <w:rPr>
                <w:rFonts w:ascii="Calibri" w:eastAsia="Times New Roman" w:hAnsi="Calibri" w:cs="Calibri"/>
                <w:sz w:val="24"/>
                <w:szCs w:val="24"/>
                <w:lang w:eastAsia="it-IT"/>
              </w:rPr>
            </w:pPr>
            <w:r w:rsidRPr="008F7DA1">
              <w:rPr>
                <w:rFonts w:ascii="Calibri" w:eastAsia="Times New Roman" w:hAnsi="Calibri" w:cs="Calibri"/>
                <w:sz w:val="24"/>
                <w:szCs w:val="24"/>
                <w:lang w:eastAsia="it-IT"/>
              </w:rPr>
              <w:t>Formazione ingresso lavoratori interinali</w:t>
            </w:r>
          </w:p>
        </w:tc>
        <w:tc>
          <w:tcPr>
            <w:tcW w:w="2400" w:type="dxa"/>
            <w:tcBorders>
              <w:top w:val="nil"/>
              <w:left w:val="nil"/>
              <w:bottom w:val="single" w:sz="4" w:space="0" w:color="203764"/>
              <w:right w:val="single" w:sz="4" w:space="0" w:color="auto"/>
            </w:tcBorders>
            <w:shd w:val="clear" w:color="auto" w:fill="D9D9D9" w:themeFill="background1" w:themeFillShade="D9"/>
            <w:vAlign w:val="center"/>
            <w:hideMark/>
          </w:tcPr>
          <w:p w14:paraId="5F23C3C7" w14:textId="77777777" w:rsidR="00ED33C8" w:rsidRPr="008F7DA1" w:rsidRDefault="00ED33C8" w:rsidP="006F5F60">
            <w:pPr>
              <w:spacing w:after="0" w:line="240" w:lineRule="auto"/>
              <w:jc w:val="right"/>
              <w:rPr>
                <w:rFonts w:ascii="Calibri" w:eastAsia="Times New Roman" w:hAnsi="Calibri" w:cs="Calibri"/>
                <w:sz w:val="24"/>
                <w:szCs w:val="24"/>
                <w:lang w:eastAsia="it-IT"/>
              </w:rPr>
            </w:pPr>
            <w:r w:rsidRPr="008F7DA1">
              <w:rPr>
                <w:rFonts w:ascii="Calibri" w:eastAsia="Times New Roman" w:hAnsi="Calibri" w:cs="Calibri"/>
                <w:sz w:val="24"/>
                <w:szCs w:val="24"/>
                <w:lang w:eastAsia="it-IT"/>
              </w:rPr>
              <w:t>1.120</w:t>
            </w:r>
          </w:p>
        </w:tc>
      </w:tr>
      <w:tr w:rsidR="00ED33C8" w:rsidRPr="007A0F74" w14:paraId="3A4E2C56" w14:textId="77777777" w:rsidTr="0094224D">
        <w:trPr>
          <w:trHeight w:val="315"/>
        </w:trPr>
        <w:tc>
          <w:tcPr>
            <w:tcW w:w="6480" w:type="dxa"/>
            <w:tcBorders>
              <w:top w:val="nil"/>
              <w:left w:val="single" w:sz="4" w:space="0" w:color="auto"/>
              <w:bottom w:val="single" w:sz="4" w:space="0" w:color="203764"/>
              <w:right w:val="single" w:sz="4" w:space="0" w:color="203764"/>
            </w:tcBorders>
            <w:shd w:val="clear" w:color="auto" w:fill="D9D9D9" w:themeFill="background1" w:themeFillShade="D9"/>
            <w:vAlign w:val="center"/>
            <w:hideMark/>
          </w:tcPr>
          <w:p w14:paraId="68DD21B9" w14:textId="77777777" w:rsidR="00ED33C8" w:rsidRPr="008F7DA1" w:rsidRDefault="00ED33C8" w:rsidP="006F5F60">
            <w:pPr>
              <w:spacing w:after="0" w:line="240" w:lineRule="auto"/>
              <w:rPr>
                <w:rFonts w:ascii="Calibri" w:eastAsia="Times New Roman" w:hAnsi="Calibri" w:cs="Calibri"/>
                <w:sz w:val="24"/>
                <w:szCs w:val="24"/>
                <w:lang w:eastAsia="it-IT"/>
              </w:rPr>
            </w:pPr>
            <w:r w:rsidRPr="008F7DA1">
              <w:rPr>
                <w:rFonts w:ascii="Calibri" w:eastAsia="Times New Roman" w:hAnsi="Calibri" w:cs="Calibri"/>
                <w:sz w:val="24"/>
                <w:szCs w:val="24"/>
                <w:lang w:eastAsia="it-IT"/>
              </w:rPr>
              <w:t>Formazione per nuove abilitazioni</w:t>
            </w:r>
          </w:p>
        </w:tc>
        <w:tc>
          <w:tcPr>
            <w:tcW w:w="2400" w:type="dxa"/>
            <w:tcBorders>
              <w:top w:val="nil"/>
              <w:left w:val="nil"/>
              <w:bottom w:val="single" w:sz="4" w:space="0" w:color="203764"/>
              <w:right w:val="single" w:sz="4" w:space="0" w:color="auto"/>
            </w:tcBorders>
            <w:shd w:val="clear" w:color="auto" w:fill="D9D9D9" w:themeFill="background1" w:themeFillShade="D9"/>
            <w:vAlign w:val="center"/>
            <w:hideMark/>
          </w:tcPr>
          <w:p w14:paraId="0663B61D" w14:textId="77777777" w:rsidR="00ED33C8" w:rsidRPr="008F7DA1" w:rsidRDefault="00ED33C8" w:rsidP="006F5F60">
            <w:pPr>
              <w:spacing w:after="0" w:line="240" w:lineRule="auto"/>
              <w:jc w:val="right"/>
              <w:rPr>
                <w:rFonts w:ascii="Calibri" w:eastAsia="Times New Roman" w:hAnsi="Calibri" w:cs="Calibri"/>
                <w:sz w:val="24"/>
                <w:szCs w:val="24"/>
                <w:lang w:eastAsia="it-IT"/>
              </w:rPr>
            </w:pPr>
            <w:r w:rsidRPr="008F7DA1">
              <w:rPr>
                <w:rFonts w:ascii="Calibri" w:eastAsia="Times New Roman" w:hAnsi="Calibri" w:cs="Calibri"/>
                <w:sz w:val="24"/>
                <w:szCs w:val="24"/>
                <w:lang w:eastAsia="it-IT"/>
              </w:rPr>
              <w:t>0</w:t>
            </w:r>
          </w:p>
        </w:tc>
      </w:tr>
      <w:tr w:rsidR="00ED33C8" w:rsidRPr="007A0F74" w14:paraId="353D1BF2" w14:textId="77777777" w:rsidTr="0094224D">
        <w:trPr>
          <w:trHeight w:val="315"/>
        </w:trPr>
        <w:tc>
          <w:tcPr>
            <w:tcW w:w="6480" w:type="dxa"/>
            <w:tcBorders>
              <w:top w:val="nil"/>
              <w:left w:val="single" w:sz="4" w:space="0" w:color="auto"/>
              <w:bottom w:val="single" w:sz="4" w:space="0" w:color="203764"/>
              <w:right w:val="single" w:sz="4" w:space="0" w:color="203764"/>
            </w:tcBorders>
            <w:shd w:val="clear" w:color="auto" w:fill="D9D9D9" w:themeFill="background1" w:themeFillShade="D9"/>
            <w:vAlign w:val="center"/>
            <w:hideMark/>
          </w:tcPr>
          <w:p w14:paraId="6407A2C0" w14:textId="77777777" w:rsidR="00ED33C8" w:rsidRPr="008F7DA1" w:rsidRDefault="00ED33C8" w:rsidP="006F5F60">
            <w:pPr>
              <w:spacing w:after="0" w:line="240" w:lineRule="auto"/>
              <w:rPr>
                <w:rFonts w:ascii="Calibri" w:eastAsia="Times New Roman" w:hAnsi="Calibri" w:cs="Calibri"/>
                <w:b/>
                <w:bCs/>
                <w:sz w:val="24"/>
                <w:szCs w:val="24"/>
                <w:lang w:eastAsia="it-IT"/>
              </w:rPr>
            </w:pPr>
            <w:r w:rsidRPr="008F7DA1">
              <w:rPr>
                <w:rFonts w:ascii="Calibri" w:eastAsia="Times New Roman" w:hAnsi="Calibri" w:cs="Calibri"/>
                <w:b/>
                <w:bCs/>
                <w:sz w:val="24"/>
                <w:szCs w:val="24"/>
                <w:lang w:eastAsia="it-IT"/>
              </w:rPr>
              <w:t>Totale ore</w:t>
            </w:r>
          </w:p>
        </w:tc>
        <w:tc>
          <w:tcPr>
            <w:tcW w:w="2400" w:type="dxa"/>
            <w:tcBorders>
              <w:top w:val="nil"/>
              <w:left w:val="nil"/>
              <w:bottom w:val="single" w:sz="4" w:space="0" w:color="203764"/>
              <w:right w:val="single" w:sz="4" w:space="0" w:color="auto"/>
            </w:tcBorders>
            <w:shd w:val="clear" w:color="auto" w:fill="D9D9D9" w:themeFill="background1" w:themeFillShade="D9"/>
            <w:vAlign w:val="center"/>
            <w:hideMark/>
          </w:tcPr>
          <w:p w14:paraId="13FB92D8" w14:textId="77777777" w:rsidR="00ED33C8" w:rsidRPr="008F7DA1" w:rsidRDefault="00ED33C8" w:rsidP="006F5F60">
            <w:pPr>
              <w:spacing w:after="0" w:line="240" w:lineRule="auto"/>
              <w:jc w:val="right"/>
              <w:rPr>
                <w:rFonts w:ascii="Calibri" w:eastAsia="Times New Roman" w:hAnsi="Calibri" w:cs="Calibri"/>
                <w:b/>
                <w:bCs/>
                <w:sz w:val="24"/>
                <w:szCs w:val="24"/>
                <w:lang w:eastAsia="it-IT"/>
              </w:rPr>
            </w:pPr>
            <w:r w:rsidRPr="008F7DA1">
              <w:rPr>
                <w:rFonts w:ascii="Calibri" w:eastAsia="Times New Roman" w:hAnsi="Calibri" w:cs="Calibri"/>
                <w:b/>
                <w:bCs/>
                <w:sz w:val="24"/>
                <w:szCs w:val="24"/>
                <w:lang w:eastAsia="it-IT"/>
              </w:rPr>
              <w:t>3.444</w:t>
            </w:r>
          </w:p>
        </w:tc>
      </w:tr>
      <w:tr w:rsidR="00ED33C8" w:rsidRPr="007A0F74" w14:paraId="7EA9D753" w14:textId="77777777" w:rsidTr="0094224D">
        <w:trPr>
          <w:trHeight w:val="300"/>
        </w:trPr>
        <w:tc>
          <w:tcPr>
            <w:tcW w:w="6480" w:type="dxa"/>
            <w:tcBorders>
              <w:top w:val="nil"/>
              <w:left w:val="single" w:sz="4" w:space="0" w:color="auto"/>
              <w:bottom w:val="nil"/>
              <w:right w:val="nil"/>
            </w:tcBorders>
            <w:shd w:val="clear" w:color="auto" w:fill="D9D9D9" w:themeFill="background1" w:themeFillShade="D9"/>
            <w:noWrap/>
            <w:vAlign w:val="center"/>
            <w:hideMark/>
          </w:tcPr>
          <w:p w14:paraId="0465E497" w14:textId="77777777" w:rsidR="00ED33C8" w:rsidRPr="008F7DA1" w:rsidRDefault="00ED33C8" w:rsidP="006F5F60">
            <w:pPr>
              <w:spacing w:after="0" w:line="240" w:lineRule="auto"/>
              <w:jc w:val="right"/>
              <w:rPr>
                <w:rFonts w:ascii="Calibri" w:eastAsia="Times New Roman" w:hAnsi="Calibri" w:cs="Calibri"/>
                <w:b/>
                <w:bCs/>
                <w:sz w:val="24"/>
                <w:szCs w:val="24"/>
                <w:lang w:eastAsia="it-IT"/>
              </w:rPr>
            </w:pPr>
          </w:p>
        </w:tc>
        <w:tc>
          <w:tcPr>
            <w:tcW w:w="2400" w:type="dxa"/>
            <w:tcBorders>
              <w:top w:val="nil"/>
              <w:left w:val="nil"/>
              <w:bottom w:val="nil"/>
              <w:right w:val="single" w:sz="4" w:space="0" w:color="auto"/>
            </w:tcBorders>
            <w:shd w:val="clear" w:color="auto" w:fill="D9D9D9" w:themeFill="background1" w:themeFillShade="D9"/>
            <w:noWrap/>
            <w:vAlign w:val="bottom"/>
            <w:hideMark/>
          </w:tcPr>
          <w:p w14:paraId="53FF27E1" w14:textId="77777777" w:rsidR="00ED33C8" w:rsidRPr="008F7DA1" w:rsidRDefault="00ED33C8" w:rsidP="006F5F60">
            <w:pPr>
              <w:spacing w:after="0" w:line="240" w:lineRule="auto"/>
              <w:rPr>
                <w:rFonts w:ascii="Times New Roman" w:eastAsia="Times New Roman" w:hAnsi="Times New Roman" w:cs="Times New Roman"/>
                <w:sz w:val="20"/>
                <w:szCs w:val="20"/>
                <w:lang w:eastAsia="it-IT"/>
              </w:rPr>
            </w:pPr>
          </w:p>
        </w:tc>
      </w:tr>
      <w:tr w:rsidR="00ED33C8" w:rsidRPr="007A0F74" w14:paraId="63A054FD" w14:textId="77777777" w:rsidTr="0094224D">
        <w:trPr>
          <w:trHeight w:val="315"/>
        </w:trPr>
        <w:tc>
          <w:tcPr>
            <w:tcW w:w="6480" w:type="dxa"/>
            <w:tcBorders>
              <w:top w:val="nil"/>
              <w:left w:val="single" w:sz="4" w:space="0" w:color="auto"/>
              <w:bottom w:val="single" w:sz="4" w:space="0" w:color="203764"/>
              <w:right w:val="single" w:sz="4" w:space="0" w:color="203764"/>
            </w:tcBorders>
            <w:shd w:val="clear" w:color="auto" w:fill="D9D9D9" w:themeFill="background1" w:themeFillShade="D9"/>
            <w:vAlign w:val="center"/>
            <w:hideMark/>
          </w:tcPr>
          <w:p w14:paraId="3CD9904C" w14:textId="77777777" w:rsidR="00ED33C8" w:rsidRPr="008F7DA1" w:rsidRDefault="00ED33C8" w:rsidP="006F5F60">
            <w:pPr>
              <w:spacing w:after="0" w:line="240" w:lineRule="auto"/>
              <w:rPr>
                <w:rFonts w:ascii="Calibri" w:eastAsia="Times New Roman" w:hAnsi="Calibri" w:cs="Calibri"/>
                <w:b/>
                <w:bCs/>
                <w:sz w:val="24"/>
                <w:szCs w:val="24"/>
                <w:lang w:eastAsia="it-IT"/>
              </w:rPr>
            </w:pPr>
            <w:r w:rsidRPr="008F7DA1">
              <w:rPr>
                <w:rFonts w:ascii="Calibri" w:eastAsia="Times New Roman" w:hAnsi="Calibri" w:cs="Calibri"/>
                <w:b/>
                <w:bCs/>
                <w:sz w:val="24"/>
                <w:szCs w:val="24"/>
                <w:lang w:eastAsia="it-IT"/>
              </w:rPr>
              <w:t>FRUITORI DI FORMAZIONE</w:t>
            </w:r>
          </w:p>
        </w:tc>
        <w:tc>
          <w:tcPr>
            <w:tcW w:w="2400" w:type="dxa"/>
            <w:tcBorders>
              <w:top w:val="nil"/>
              <w:left w:val="nil"/>
              <w:bottom w:val="single" w:sz="4" w:space="0" w:color="203764"/>
              <w:right w:val="single" w:sz="4" w:space="0" w:color="auto"/>
            </w:tcBorders>
            <w:shd w:val="clear" w:color="auto" w:fill="D9D9D9" w:themeFill="background1" w:themeFillShade="D9"/>
            <w:vAlign w:val="center"/>
            <w:hideMark/>
          </w:tcPr>
          <w:p w14:paraId="01819791" w14:textId="77777777" w:rsidR="00ED33C8" w:rsidRPr="008F7DA1" w:rsidRDefault="00ED33C8" w:rsidP="006F5F60">
            <w:pPr>
              <w:spacing w:after="0" w:line="240" w:lineRule="auto"/>
              <w:jc w:val="right"/>
              <w:rPr>
                <w:rFonts w:ascii="Calibri" w:eastAsia="Times New Roman" w:hAnsi="Calibri" w:cs="Calibri"/>
                <w:b/>
                <w:bCs/>
                <w:sz w:val="24"/>
                <w:szCs w:val="24"/>
                <w:lang w:eastAsia="it-IT"/>
              </w:rPr>
            </w:pPr>
            <w:r w:rsidRPr="008F7DA1">
              <w:rPr>
                <w:rFonts w:ascii="Calibri" w:eastAsia="Times New Roman" w:hAnsi="Calibri" w:cs="Calibri"/>
                <w:b/>
                <w:bCs/>
                <w:sz w:val="24"/>
                <w:szCs w:val="24"/>
                <w:lang w:eastAsia="it-IT"/>
              </w:rPr>
              <w:t>N. di ore</w:t>
            </w:r>
          </w:p>
        </w:tc>
      </w:tr>
      <w:tr w:rsidR="00ED33C8" w:rsidRPr="007A0F74" w14:paraId="2B6B6D9D" w14:textId="77777777" w:rsidTr="0094224D">
        <w:trPr>
          <w:trHeight w:val="315"/>
        </w:trPr>
        <w:tc>
          <w:tcPr>
            <w:tcW w:w="6480" w:type="dxa"/>
            <w:tcBorders>
              <w:top w:val="nil"/>
              <w:left w:val="single" w:sz="4" w:space="0" w:color="auto"/>
              <w:bottom w:val="single" w:sz="4" w:space="0" w:color="203764"/>
              <w:right w:val="single" w:sz="4" w:space="0" w:color="203764"/>
            </w:tcBorders>
            <w:shd w:val="clear" w:color="auto" w:fill="D9D9D9" w:themeFill="background1" w:themeFillShade="D9"/>
            <w:vAlign w:val="center"/>
            <w:hideMark/>
          </w:tcPr>
          <w:p w14:paraId="18E95A69" w14:textId="77777777" w:rsidR="00ED33C8" w:rsidRPr="008F7DA1" w:rsidRDefault="00ED33C8" w:rsidP="006F5F60">
            <w:pPr>
              <w:spacing w:after="0" w:line="240" w:lineRule="auto"/>
              <w:rPr>
                <w:rFonts w:ascii="Calibri" w:eastAsia="Times New Roman" w:hAnsi="Calibri" w:cs="Calibri"/>
                <w:sz w:val="24"/>
                <w:szCs w:val="24"/>
                <w:lang w:eastAsia="it-IT"/>
              </w:rPr>
            </w:pPr>
            <w:r w:rsidRPr="008F7DA1">
              <w:rPr>
                <w:rFonts w:ascii="Calibri" w:eastAsia="Times New Roman" w:hAnsi="Calibri" w:cs="Calibri"/>
                <w:sz w:val="24"/>
                <w:szCs w:val="24"/>
                <w:lang w:eastAsia="it-IT"/>
              </w:rPr>
              <w:t>Personale amministrativo con funzioni direttive</w:t>
            </w:r>
          </w:p>
        </w:tc>
        <w:tc>
          <w:tcPr>
            <w:tcW w:w="2400" w:type="dxa"/>
            <w:tcBorders>
              <w:top w:val="nil"/>
              <w:left w:val="nil"/>
              <w:bottom w:val="single" w:sz="4" w:space="0" w:color="203764"/>
              <w:right w:val="single" w:sz="4" w:space="0" w:color="auto"/>
            </w:tcBorders>
            <w:shd w:val="clear" w:color="auto" w:fill="D9D9D9" w:themeFill="background1" w:themeFillShade="D9"/>
            <w:vAlign w:val="center"/>
            <w:hideMark/>
          </w:tcPr>
          <w:p w14:paraId="4B3E2DAF" w14:textId="77777777" w:rsidR="00ED33C8" w:rsidRPr="008F7DA1" w:rsidRDefault="00ED33C8" w:rsidP="006F5F60">
            <w:pPr>
              <w:spacing w:after="0" w:line="240" w:lineRule="auto"/>
              <w:jc w:val="right"/>
              <w:rPr>
                <w:rFonts w:ascii="Calibri" w:eastAsia="Times New Roman" w:hAnsi="Calibri" w:cs="Calibri"/>
                <w:sz w:val="24"/>
                <w:szCs w:val="24"/>
                <w:lang w:eastAsia="it-IT"/>
              </w:rPr>
            </w:pPr>
            <w:r w:rsidRPr="008F7DA1">
              <w:rPr>
                <w:rFonts w:ascii="Calibri" w:eastAsia="Times New Roman" w:hAnsi="Calibri" w:cs="Calibri"/>
                <w:sz w:val="24"/>
                <w:szCs w:val="24"/>
                <w:lang w:eastAsia="it-IT"/>
              </w:rPr>
              <w:t>64</w:t>
            </w:r>
          </w:p>
        </w:tc>
      </w:tr>
      <w:tr w:rsidR="00ED33C8" w:rsidRPr="007A0F74" w14:paraId="241C2CEB" w14:textId="77777777" w:rsidTr="0094224D">
        <w:trPr>
          <w:trHeight w:val="315"/>
        </w:trPr>
        <w:tc>
          <w:tcPr>
            <w:tcW w:w="6480" w:type="dxa"/>
            <w:tcBorders>
              <w:top w:val="nil"/>
              <w:left w:val="single" w:sz="4" w:space="0" w:color="auto"/>
              <w:bottom w:val="single" w:sz="4" w:space="0" w:color="203764"/>
              <w:right w:val="single" w:sz="4" w:space="0" w:color="203764"/>
            </w:tcBorders>
            <w:shd w:val="clear" w:color="auto" w:fill="D9D9D9" w:themeFill="background1" w:themeFillShade="D9"/>
            <w:vAlign w:val="center"/>
            <w:hideMark/>
          </w:tcPr>
          <w:p w14:paraId="5358EE1C" w14:textId="77777777" w:rsidR="00ED33C8" w:rsidRPr="008F7DA1" w:rsidRDefault="00ED33C8" w:rsidP="006F5F60">
            <w:pPr>
              <w:spacing w:after="0" w:line="240" w:lineRule="auto"/>
              <w:rPr>
                <w:rFonts w:ascii="Calibri" w:eastAsia="Times New Roman" w:hAnsi="Calibri" w:cs="Calibri"/>
                <w:sz w:val="24"/>
                <w:szCs w:val="24"/>
                <w:lang w:eastAsia="it-IT"/>
              </w:rPr>
            </w:pPr>
            <w:r w:rsidRPr="008F7DA1">
              <w:rPr>
                <w:rFonts w:ascii="Calibri" w:eastAsia="Times New Roman" w:hAnsi="Calibri" w:cs="Calibri"/>
                <w:sz w:val="24"/>
                <w:szCs w:val="24"/>
                <w:lang w:eastAsia="it-IT"/>
              </w:rPr>
              <w:t>Altro personale amministrativo</w:t>
            </w:r>
          </w:p>
        </w:tc>
        <w:tc>
          <w:tcPr>
            <w:tcW w:w="2400" w:type="dxa"/>
            <w:tcBorders>
              <w:top w:val="nil"/>
              <w:left w:val="nil"/>
              <w:bottom w:val="single" w:sz="4" w:space="0" w:color="203764"/>
              <w:right w:val="single" w:sz="4" w:space="0" w:color="auto"/>
            </w:tcBorders>
            <w:shd w:val="clear" w:color="auto" w:fill="D9D9D9" w:themeFill="background1" w:themeFillShade="D9"/>
            <w:vAlign w:val="center"/>
            <w:hideMark/>
          </w:tcPr>
          <w:p w14:paraId="15B38C5B" w14:textId="77777777" w:rsidR="00ED33C8" w:rsidRPr="008F7DA1" w:rsidRDefault="00ED33C8" w:rsidP="006F5F60">
            <w:pPr>
              <w:spacing w:after="0" w:line="240" w:lineRule="auto"/>
              <w:jc w:val="right"/>
              <w:rPr>
                <w:rFonts w:ascii="Calibri" w:eastAsia="Times New Roman" w:hAnsi="Calibri" w:cs="Calibri"/>
                <w:sz w:val="24"/>
                <w:szCs w:val="24"/>
                <w:lang w:eastAsia="it-IT"/>
              </w:rPr>
            </w:pPr>
            <w:r w:rsidRPr="008F7DA1">
              <w:rPr>
                <w:rFonts w:ascii="Calibri" w:eastAsia="Times New Roman" w:hAnsi="Calibri" w:cs="Calibri"/>
                <w:sz w:val="24"/>
                <w:szCs w:val="24"/>
                <w:lang w:eastAsia="it-IT"/>
              </w:rPr>
              <w:t>68</w:t>
            </w:r>
          </w:p>
        </w:tc>
      </w:tr>
      <w:tr w:rsidR="00ED33C8" w:rsidRPr="007A0F74" w14:paraId="2DC4C112" w14:textId="77777777" w:rsidTr="0094224D">
        <w:trPr>
          <w:trHeight w:val="315"/>
        </w:trPr>
        <w:tc>
          <w:tcPr>
            <w:tcW w:w="6480" w:type="dxa"/>
            <w:tcBorders>
              <w:top w:val="nil"/>
              <w:left w:val="single" w:sz="4" w:space="0" w:color="auto"/>
              <w:bottom w:val="single" w:sz="4" w:space="0" w:color="203764"/>
              <w:right w:val="single" w:sz="4" w:space="0" w:color="203764"/>
            </w:tcBorders>
            <w:shd w:val="clear" w:color="auto" w:fill="D9D9D9" w:themeFill="background1" w:themeFillShade="D9"/>
            <w:vAlign w:val="center"/>
            <w:hideMark/>
          </w:tcPr>
          <w:p w14:paraId="67F3ED24" w14:textId="77777777" w:rsidR="00ED33C8" w:rsidRPr="008F7DA1" w:rsidRDefault="00ED33C8" w:rsidP="006F5F60">
            <w:pPr>
              <w:spacing w:after="0" w:line="240" w:lineRule="auto"/>
              <w:rPr>
                <w:rFonts w:ascii="Calibri" w:eastAsia="Times New Roman" w:hAnsi="Calibri" w:cs="Calibri"/>
                <w:sz w:val="24"/>
                <w:szCs w:val="24"/>
                <w:lang w:eastAsia="it-IT"/>
              </w:rPr>
            </w:pPr>
            <w:r w:rsidRPr="008F7DA1">
              <w:rPr>
                <w:rFonts w:ascii="Calibri" w:eastAsia="Times New Roman" w:hAnsi="Calibri" w:cs="Calibri"/>
                <w:sz w:val="24"/>
                <w:szCs w:val="24"/>
                <w:lang w:eastAsia="it-IT"/>
              </w:rPr>
              <w:t>Soci lavoratori con mansioni operative</w:t>
            </w:r>
          </w:p>
        </w:tc>
        <w:tc>
          <w:tcPr>
            <w:tcW w:w="2400" w:type="dxa"/>
            <w:tcBorders>
              <w:top w:val="nil"/>
              <w:left w:val="nil"/>
              <w:bottom w:val="single" w:sz="4" w:space="0" w:color="203764"/>
              <w:right w:val="single" w:sz="4" w:space="0" w:color="auto"/>
            </w:tcBorders>
            <w:shd w:val="clear" w:color="auto" w:fill="D9D9D9" w:themeFill="background1" w:themeFillShade="D9"/>
            <w:vAlign w:val="center"/>
            <w:hideMark/>
          </w:tcPr>
          <w:p w14:paraId="13DD59A5" w14:textId="77777777" w:rsidR="00ED33C8" w:rsidRPr="008F7DA1" w:rsidRDefault="00ED33C8" w:rsidP="006F5F60">
            <w:pPr>
              <w:spacing w:after="0" w:line="240" w:lineRule="auto"/>
              <w:jc w:val="right"/>
              <w:rPr>
                <w:rFonts w:ascii="Calibri" w:eastAsia="Times New Roman" w:hAnsi="Calibri" w:cs="Calibri"/>
                <w:sz w:val="24"/>
                <w:szCs w:val="24"/>
                <w:lang w:eastAsia="it-IT"/>
              </w:rPr>
            </w:pPr>
            <w:r w:rsidRPr="008F7DA1">
              <w:rPr>
                <w:rFonts w:ascii="Calibri" w:eastAsia="Times New Roman" w:hAnsi="Calibri" w:cs="Calibri"/>
                <w:sz w:val="24"/>
                <w:szCs w:val="24"/>
                <w:lang w:eastAsia="it-IT"/>
              </w:rPr>
              <w:t>804</w:t>
            </w:r>
          </w:p>
        </w:tc>
      </w:tr>
      <w:tr w:rsidR="00ED33C8" w:rsidRPr="007A0F74" w14:paraId="79BBFC1D" w14:textId="77777777" w:rsidTr="0094224D">
        <w:trPr>
          <w:trHeight w:val="315"/>
        </w:trPr>
        <w:tc>
          <w:tcPr>
            <w:tcW w:w="6480" w:type="dxa"/>
            <w:tcBorders>
              <w:top w:val="nil"/>
              <w:left w:val="single" w:sz="4" w:space="0" w:color="auto"/>
              <w:bottom w:val="single" w:sz="4" w:space="0" w:color="203764"/>
              <w:right w:val="single" w:sz="4" w:space="0" w:color="203764"/>
            </w:tcBorders>
            <w:shd w:val="clear" w:color="auto" w:fill="D9D9D9" w:themeFill="background1" w:themeFillShade="D9"/>
            <w:vAlign w:val="center"/>
            <w:hideMark/>
          </w:tcPr>
          <w:p w14:paraId="702F96DE" w14:textId="77777777" w:rsidR="00ED33C8" w:rsidRPr="008F7DA1" w:rsidRDefault="00ED33C8" w:rsidP="006F5F60">
            <w:pPr>
              <w:spacing w:after="0" w:line="240" w:lineRule="auto"/>
              <w:rPr>
                <w:rFonts w:ascii="Calibri" w:eastAsia="Times New Roman" w:hAnsi="Calibri" w:cs="Calibri"/>
                <w:sz w:val="24"/>
                <w:szCs w:val="24"/>
                <w:lang w:eastAsia="it-IT"/>
              </w:rPr>
            </w:pPr>
            <w:r w:rsidRPr="008F7DA1">
              <w:rPr>
                <w:rFonts w:ascii="Calibri" w:eastAsia="Times New Roman" w:hAnsi="Calibri" w:cs="Calibri"/>
                <w:sz w:val="24"/>
                <w:szCs w:val="24"/>
                <w:lang w:eastAsia="it-IT"/>
              </w:rPr>
              <w:t>Lavoratori dipendenti con mansioni operative</w:t>
            </w:r>
          </w:p>
        </w:tc>
        <w:tc>
          <w:tcPr>
            <w:tcW w:w="2400" w:type="dxa"/>
            <w:tcBorders>
              <w:top w:val="nil"/>
              <w:left w:val="nil"/>
              <w:bottom w:val="single" w:sz="4" w:space="0" w:color="203764"/>
              <w:right w:val="single" w:sz="4" w:space="0" w:color="auto"/>
            </w:tcBorders>
            <w:shd w:val="clear" w:color="auto" w:fill="D9D9D9" w:themeFill="background1" w:themeFillShade="D9"/>
            <w:vAlign w:val="center"/>
            <w:hideMark/>
          </w:tcPr>
          <w:p w14:paraId="6CBBBFDA" w14:textId="77777777" w:rsidR="00ED33C8" w:rsidRPr="008F7DA1" w:rsidRDefault="00ED33C8" w:rsidP="006F5F60">
            <w:pPr>
              <w:spacing w:after="0" w:line="240" w:lineRule="auto"/>
              <w:jc w:val="right"/>
              <w:rPr>
                <w:rFonts w:ascii="Calibri" w:eastAsia="Times New Roman" w:hAnsi="Calibri" w:cs="Calibri"/>
                <w:sz w:val="24"/>
                <w:szCs w:val="24"/>
                <w:lang w:eastAsia="it-IT"/>
              </w:rPr>
            </w:pPr>
            <w:r w:rsidRPr="008F7DA1">
              <w:rPr>
                <w:rFonts w:ascii="Calibri" w:eastAsia="Times New Roman" w:hAnsi="Calibri" w:cs="Calibri"/>
                <w:sz w:val="24"/>
                <w:szCs w:val="24"/>
                <w:lang w:eastAsia="it-IT"/>
              </w:rPr>
              <w:t>1.100</w:t>
            </w:r>
          </w:p>
        </w:tc>
      </w:tr>
      <w:tr w:rsidR="00ED33C8" w:rsidRPr="007A0F74" w14:paraId="11B80BE2" w14:textId="77777777" w:rsidTr="0094224D">
        <w:trPr>
          <w:trHeight w:val="315"/>
        </w:trPr>
        <w:tc>
          <w:tcPr>
            <w:tcW w:w="6480" w:type="dxa"/>
            <w:tcBorders>
              <w:top w:val="nil"/>
              <w:left w:val="single" w:sz="4" w:space="0" w:color="auto"/>
              <w:bottom w:val="single" w:sz="4" w:space="0" w:color="203764"/>
              <w:right w:val="single" w:sz="4" w:space="0" w:color="203764"/>
            </w:tcBorders>
            <w:shd w:val="clear" w:color="auto" w:fill="D9D9D9" w:themeFill="background1" w:themeFillShade="D9"/>
            <w:vAlign w:val="center"/>
            <w:hideMark/>
          </w:tcPr>
          <w:p w14:paraId="3BC3D05C" w14:textId="77777777" w:rsidR="00ED33C8" w:rsidRPr="008F7DA1" w:rsidRDefault="00ED33C8" w:rsidP="006F5F60">
            <w:pPr>
              <w:spacing w:after="0" w:line="240" w:lineRule="auto"/>
              <w:rPr>
                <w:rFonts w:ascii="Calibri" w:eastAsia="Times New Roman" w:hAnsi="Calibri" w:cs="Calibri"/>
                <w:sz w:val="24"/>
                <w:szCs w:val="24"/>
                <w:lang w:eastAsia="it-IT"/>
              </w:rPr>
            </w:pPr>
            <w:r w:rsidRPr="008F7DA1">
              <w:rPr>
                <w:rFonts w:ascii="Calibri" w:eastAsia="Times New Roman" w:hAnsi="Calibri" w:cs="Calibri"/>
                <w:sz w:val="24"/>
                <w:szCs w:val="24"/>
                <w:lang w:eastAsia="it-IT"/>
              </w:rPr>
              <w:t>Lavoratori interinali</w:t>
            </w:r>
          </w:p>
        </w:tc>
        <w:tc>
          <w:tcPr>
            <w:tcW w:w="2400" w:type="dxa"/>
            <w:tcBorders>
              <w:top w:val="nil"/>
              <w:left w:val="nil"/>
              <w:bottom w:val="single" w:sz="4" w:space="0" w:color="203764"/>
              <w:right w:val="single" w:sz="4" w:space="0" w:color="auto"/>
            </w:tcBorders>
            <w:shd w:val="clear" w:color="auto" w:fill="D9D9D9" w:themeFill="background1" w:themeFillShade="D9"/>
            <w:vAlign w:val="center"/>
            <w:hideMark/>
          </w:tcPr>
          <w:p w14:paraId="621D1B95" w14:textId="77777777" w:rsidR="00ED33C8" w:rsidRPr="008F7DA1" w:rsidRDefault="00ED33C8" w:rsidP="006F5F60">
            <w:pPr>
              <w:spacing w:after="0" w:line="240" w:lineRule="auto"/>
              <w:jc w:val="right"/>
              <w:rPr>
                <w:rFonts w:ascii="Calibri" w:eastAsia="Times New Roman" w:hAnsi="Calibri" w:cs="Calibri"/>
                <w:sz w:val="24"/>
                <w:szCs w:val="24"/>
                <w:lang w:eastAsia="it-IT"/>
              </w:rPr>
            </w:pPr>
            <w:r w:rsidRPr="008F7DA1">
              <w:rPr>
                <w:rFonts w:ascii="Calibri" w:eastAsia="Times New Roman" w:hAnsi="Calibri" w:cs="Calibri"/>
                <w:sz w:val="24"/>
                <w:szCs w:val="24"/>
                <w:lang w:eastAsia="it-IT"/>
              </w:rPr>
              <w:t>1.408</w:t>
            </w:r>
          </w:p>
        </w:tc>
      </w:tr>
      <w:tr w:rsidR="00ED33C8" w:rsidRPr="007A0F74" w14:paraId="1D2144CC" w14:textId="77777777" w:rsidTr="0094224D">
        <w:trPr>
          <w:trHeight w:val="315"/>
        </w:trPr>
        <w:tc>
          <w:tcPr>
            <w:tcW w:w="6480" w:type="dxa"/>
            <w:tcBorders>
              <w:top w:val="nil"/>
              <w:left w:val="single" w:sz="4" w:space="0" w:color="auto"/>
              <w:bottom w:val="single" w:sz="4" w:space="0" w:color="203764"/>
              <w:right w:val="single" w:sz="4" w:space="0" w:color="203764"/>
            </w:tcBorders>
            <w:shd w:val="clear" w:color="auto" w:fill="D9D9D9" w:themeFill="background1" w:themeFillShade="D9"/>
            <w:vAlign w:val="center"/>
            <w:hideMark/>
          </w:tcPr>
          <w:p w14:paraId="5CAC8E07" w14:textId="77777777" w:rsidR="00ED33C8" w:rsidRPr="008F7DA1" w:rsidRDefault="00ED33C8" w:rsidP="006F5F60">
            <w:pPr>
              <w:spacing w:after="0" w:line="240" w:lineRule="auto"/>
              <w:rPr>
                <w:rFonts w:ascii="Calibri" w:eastAsia="Times New Roman" w:hAnsi="Calibri" w:cs="Calibri"/>
                <w:b/>
                <w:bCs/>
                <w:sz w:val="24"/>
                <w:szCs w:val="24"/>
                <w:lang w:eastAsia="it-IT"/>
              </w:rPr>
            </w:pPr>
            <w:r w:rsidRPr="008F7DA1">
              <w:rPr>
                <w:rFonts w:ascii="Calibri" w:eastAsia="Times New Roman" w:hAnsi="Calibri" w:cs="Calibri"/>
                <w:b/>
                <w:bCs/>
                <w:sz w:val="24"/>
                <w:szCs w:val="24"/>
                <w:lang w:eastAsia="it-IT"/>
              </w:rPr>
              <w:t>Totale ore</w:t>
            </w:r>
          </w:p>
        </w:tc>
        <w:tc>
          <w:tcPr>
            <w:tcW w:w="2400" w:type="dxa"/>
            <w:tcBorders>
              <w:top w:val="nil"/>
              <w:left w:val="nil"/>
              <w:bottom w:val="single" w:sz="4" w:space="0" w:color="203764"/>
              <w:right w:val="single" w:sz="4" w:space="0" w:color="auto"/>
            </w:tcBorders>
            <w:shd w:val="clear" w:color="auto" w:fill="D9D9D9" w:themeFill="background1" w:themeFillShade="D9"/>
            <w:vAlign w:val="center"/>
            <w:hideMark/>
          </w:tcPr>
          <w:p w14:paraId="62D193D5" w14:textId="77777777" w:rsidR="00ED33C8" w:rsidRPr="008F7DA1" w:rsidRDefault="00ED33C8" w:rsidP="006F5F60">
            <w:pPr>
              <w:spacing w:after="0" w:line="240" w:lineRule="auto"/>
              <w:jc w:val="right"/>
              <w:rPr>
                <w:rFonts w:ascii="Calibri" w:eastAsia="Times New Roman" w:hAnsi="Calibri" w:cs="Calibri"/>
                <w:b/>
                <w:bCs/>
                <w:sz w:val="24"/>
                <w:szCs w:val="24"/>
                <w:lang w:eastAsia="it-IT"/>
              </w:rPr>
            </w:pPr>
            <w:r w:rsidRPr="008F7DA1">
              <w:rPr>
                <w:rFonts w:ascii="Calibri" w:eastAsia="Times New Roman" w:hAnsi="Calibri" w:cs="Calibri"/>
                <w:b/>
                <w:bCs/>
                <w:sz w:val="24"/>
                <w:szCs w:val="24"/>
                <w:lang w:eastAsia="it-IT"/>
              </w:rPr>
              <w:t>3.444</w:t>
            </w:r>
          </w:p>
        </w:tc>
      </w:tr>
      <w:tr w:rsidR="008F7DA1" w:rsidRPr="008F7DA1" w14:paraId="3A66D7B0" w14:textId="77777777" w:rsidTr="0094224D">
        <w:trPr>
          <w:trHeight w:val="375"/>
        </w:trPr>
        <w:tc>
          <w:tcPr>
            <w:tcW w:w="8880" w:type="dxa"/>
            <w:gridSpan w:val="2"/>
            <w:tcBorders>
              <w:top w:val="single" w:sz="8" w:space="0" w:color="auto"/>
              <w:left w:val="single" w:sz="4" w:space="0" w:color="auto"/>
              <w:bottom w:val="single" w:sz="4" w:space="0" w:color="203764"/>
              <w:right w:val="single" w:sz="4" w:space="0" w:color="auto"/>
            </w:tcBorders>
            <w:shd w:val="clear" w:color="auto" w:fill="A6A6A6" w:themeFill="background1" w:themeFillShade="A6"/>
            <w:noWrap/>
            <w:vAlign w:val="bottom"/>
            <w:hideMark/>
          </w:tcPr>
          <w:p w14:paraId="2291473E" w14:textId="77777777" w:rsidR="00ED33C8" w:rsidRPr="008F7DA1" w:rsidRDefault="00ED33C8" w:rsidP="006F5F60">
            <w:pPr>
              <w:spacing w:after="0" w:line="240" w:lineRule="auto"/>
              <w:jc w:val="center"/>
              <w:rPr>
                <w:rFonts w:ascii="Calibri" w:eastAsia="Times New Roman" w:hAnsi="Calibri" w:cs="Calibri"/>
                <w:b/>
                <w:bCs/>
                <w:sz w:val="28"/>
                <w:szCs w:val="28"/>
                <w:lang w:eastAsia="it-IT"/>
              </w:rPr>
            </w:pPr>
            <w:r w:rsidRPr="008F7DA1">
              <w:rPr>
                <w:rFonts w:ascii="Calibri" w:eastAsia="Times New Roman" w:hAnsi="Calibri" w:cs="Calibri"/>
                <w:b/>
                <w:bCs/>
                <w:sz w:val="28"/>
                <w:szCs w:val="28"/>
                <w:lang w:eastAsia="it-IT"/>
              </w:rPr>
              <w:t>Quadro riassuntivo formazione art. 17 SERVIPORT - anno 2021</w:t>
            </w:r>
          </w:p>
        </w:tc>
      </w:tr>
      <w:tr w:rsidR="00ED33C8" w:rsidRPr="00B276BD" w14:paraId="78A49057" w14:textId="77777777" w:rsidTr="0094224D">
        <w:trPr>
          <w:trHeight w:val="315"/>
        </w:trPr>
        <w:tc>
          <w:tcPr>
            <w:tcW w:w="6480" w:type="dxa"/>
            <w:tcBorders>
              <w:top w:val="nil"/>
              <w:left w:val="single" w:sz="4" w:space="0" w:color="auto"/>
              <w:bottom w:val="nil"/>
              <w:right w:val="single" w:sz="4" w:space="0" w:color="203764"/>
            </w:tcBorders>
            <w:shd w:val="clear" w:color="auto" w:fill="D9D9D9" w:themeFill="background1" w:themeFillShade="D9"/>
            <w:vAlign w:val="center"/>
            <w:hideMark/>
          </w:tcPr>
          <w:p w14:paraId="166D3D54" w14:textId="77777777" w:rsidR="00ED33C8" w:rsidRPr="008F7DA1" w:rsidRDefault="00ED33C8" w:rsidP="006F5F60">
            <w:pPr>
              <w:spacing w:after="0" w:line="240" w:lineRule="auto"/>
              <w:rPr>
                <w:rFonts w:ascii="Calibri" w:eastAsia="Times New Roman" w:hAnsi="Calibri" w:cs="Calibri"/>
                <w:b/>
                <w:bCs/>
                <w:sz w:val="24"/>
                <w:szCs w:val="24"/>
                <w:lang w:eastAsia="it-IT"/>
              </w:rPr>
            </w:pPr>
            <w:r w:rsidRPr="008F7DA1">
              <w:rPr>
                <w:rFonts w:ascii="Calibri" w:eastAsia="Times New Roman" w:hAnsi="Calibri" w:cs="Calibri"/>
                <w:b/>
                <w:bCs/>
                <w:sz w:val="24"/>
                <w:szCs w:val="24"/>
                <w:lang w:eastAsia="it-IT"/>
              </w:rPr>
              <w:t>TIPO DI FORMAZIONE</w:t>
            </w:r>
          </w:p>
        </w:tc>
        <w:tc>
          <w:tcPr>
            <w:tcW w:w="2400" w:type="dxa"/>
            <w:tcBorders>
              <w:top w:val="nil"/>
              <w:left w:val="nil"/>
              <w:bottom w:val="single" w:sz="4" w:space="0" w:color="203764"/>
              <w:right w:val="single" w:sz="4" w:space="0" w:color="auto"/>
            </w:tcBorders>
            <w:shd w:val="clear" w:color="auto" w:fill="D9D9D9" w:themeFill="background1" w:themeFillShade="D9"/>
            <w:vAlign w:val="center"/>
            <w:hideMark/>
          </w:tcPr>
          <w:p w14:paraId="77D67071" w14:textId="77777777" w:rsidR="00ED33C8" w:rsidRPr="008F7DA1" w:rsidRDefault="00ED33C8" w:rsidP="006F5F60">
            <w:pPr>
              <w:spacing w:after="0" w:line="240" w:lineRule="auto"/>
              <w:jc w:val="right"/>
              <w:rPr>
                <w:rFonts w:ascii="Calibri" w:eastAsia="Times New Roman" w:hAnsi="Calibri" w:cs="Calibri"/>
                <w:b/>
                <w:bCs/>
                <w:sz w:val="24"/>
                <w:szCs w:val="24"/>
                <w:lang w:eastAsia="it-IT"/>
              </w:rPr>
            </w:pPr>
            <w:r w:rsidRPr="008F7DA1">
              <w:rPr>
                <w:rFonts w:ascii="Calibri" w:eastAsia="Times New Roman" w:hAnsi="Calibri" w:cs="Calibri"/>
                <w:b/>
                <w:bCs/>
                <w:sz w:val="24"/>
                <w:szCs w:val="24"/>
                <w:lang w:eastAsia="it-IT"/>
              </w:rPr>
              <w:t xml:space="preserve">N. di ore </w:t>
            </w:r>
          </w:p>
        </w:tc>
      </w:tr>
      <w:tr w:rsidR="00ED33C8" w:rsidRPr="00B276BD" w14:paraId="0C12A765" w14:textId="77777777" w:rsidTr="0094224D">
        <w:trPr>
          <w:trHeight w:val="315"/>
        </w:trPr>
        <w:tc>
          <w:tcPr>
            <w:tcW w:w="6480" w:type="dxa"/>
            <w:tcBorders>
              <w:top w:val="single" w:sz="4" w:space="0" w:color="203764"/>
              <w:left w:val="single" w:sz="4" w:space="0" w:color="auto"/>
              <w:bottom w:val="single" w:sz="4" w:space="0" w:color="203764"/>
              <w:right w:val="single" w:sz="4" w:space="0" w:color="203764"/>
            </w:tcBorders>
            <w:shd w:val="clear" w:color="auto" w:fill="D9D9D9" w:themeFill="background1" w:themeFillShade="D9"/>
            <w:vAlign w:val="center"/>
            <w:hideMark/>
          </w:tcPr>
          <w:p w14:paraId="5C424C05" w14:textId="77777777" w:rsidR="00ED33C8" w:rsidRPr="008F7DA1" w:rsidRDefault="00ED33C8" w:rsidP="006F5F60">
            <w:pPr>
              <w:spacing w:after="0" w:line="240" w:lineRule="auto"/>
              <w:rPr>
                <w:rFonts w:ascii="Calibri" w:eastAsia="Times New Roman" w:hAnsi="Calibri" w:cs="Calibri"/>
                <w:sz w:val="24"/>
                <w:szCs w:val="24"/>
                <w:lang w:eastAsia="it-IT"/>
              </w:rPr>
            </w:pPr>
            <w:r w:rsidRPr="008F7DA1">
              <w:rPr>
                <w:rFonts w:ascii="Calibri" w:eastAsia="Times New Roman" w:hAnsi="Calibri" w:cs="Calibri"/>
                <w:sz w:val="24"/>
                <w:szCs w:val="24"/>
                <w:lang w:eastAsia="it-IT"/>
              </w:rPr>
              <w:t>Addetto alla conduzione GRU</w:t>
            </w:r>
          </w:p>
        </w:tc>
        <w:tc>
          <w:tcPr>
            <w:tcW w:w="2400" w:type="dxa"/>
            <w:tcBorders>
              <w:top w:val="nil"/>
              <w:left w:val="nil"/>
              <w:bottom w:val="single" w:sz="4" w:space="0" w:color="203764"/>
              <w:right w:val="single" w:sz="4" w:space="0" w:color="auto"/>
            </w:tcBorders>
            <w:shd w:val="clear" w:color="auto" w:fill="D9D9D9" w:themeFill="background1" w:themeFillShade="D9"/>
            <w:vAlign w:val="center"/>
            <w:hideMark/>
          </w:tcPr>
          <w:p w14:paraId="766B43BD" w14:textId="77777777" w:rsidR="00ED33C8" w:rsidRPr="008F7DA1" w:rsidRDefault="00ED33C8" w:rsidP="006F5F60">
            <w:pPr>
              <w:spacing w:after="0" w:line="240" w:lineRule="auto"/>
              <w:jc w:val="right"/>
              <w:rPr>
                <w:rFonts w:ascii="Calibri" w:eastAsia="Times New Roman" w:hAnsi="Calibri" w:cs="Calibri"/>
                <w:sz w:val="24"/>
                <w:szCs w:val="24"/>
                <w:lang w:eastAsia="it-IT"/>
              </w:rPr>
            </w:pPr>
            <w:r w:rsidRPr="008F7DA1">
              <w:rPr>
                <w:rFonts w:ascii="Calibri" w:eastAsia="Times New Roman" w:hAnsi="Calibri" w:cs="Calibri"/>
                <w:sz w:val="24"/>
                <w:szCs w:val="24"/>
                <w:lang w:eastAsia="it-IT"/>
              </w:rPr>
              <w:t>20</w:t>
            </w:r>
          </w:p>
        </w:tc>
      </w:tr>
      <w:tr w:rsidR="00ED33C8" w:rsidRPr="00B276BD" w14:paraId="741CB201" w14:textId="77777777" w:rsidTr="0094224D">
        <w:trPr>
          <w:trHeight w:val="315"/>
        </w:trPr>
        <w:tc>
          <w:tcPr>
            <w:tcW w:w="6480" w:type="dxa"/>
            <w:tcBorders>
              <w:top w:val="nil"/>
              <w:left w:val="single" w:sz="4" w:space="0" w:color="auto"/>
              <w:bottom w:val="single" w:sz="4" w:space="0" w:color="203764"/>
              <w:right w:val="single" w:sz="4" w:space="0" w:color="203764"/>
            </w:tcBorders>
            <w:shd w:val="clear" w:color="auto" w:fill="D9D9D9" w:themeFill="background1" w:themeFillShade="D9"/>
            <w:vAlign w:val="center"/>
            <w:hideMark/>
          </w:tcPr>
          <w:p w14:paraId="42AC7960" w14:textId="77777777" w:rsidR="00ED33C8" w:rsidRPr="008F7DA1" w:rsidRDefault="00ED33C8" w:rsidP="006F5F60">
            <w:pPr>
              <w:spacing w:after="0" w:line="240" w:lineRule="auto"/>
              <w:rPr>
                <w:rFonts w:ascii="Calibri" w:eastAsia="Times New Roman" w:hAnsi="Calibri" w:cs="Calibri"/>
                <w:sz w:val="24"/>
                <w:szCs w:val="24"/>
                <w:lang w:eastAsia="it-IT"/>
              </w:rPr>
            </w:pPr>
            <w:r w:rsidRPr="008F7DA1">
              <w:rPr>
                <w:rFonts w:ascii="Calibri" w:eastAsia="Times New Roman" w:hAnsi="Calibri" w:cs="Calibri"/>
                <w:sz w:val="24"/>
                <w:szCs w:val="24"/>
                <w:lang w:eastAsia="it-IT"/>
              </w:rPr>
              <w:t>Autista Pala/Escavatore</w:t>
            </w:r>
          </w:p>
        </w:tc>
        <w:tc>
          <w:tcPr>
            <w:tcW w:w="2400" w:type="dxa"/>
            <w:tcBorders>
              <w:top w:val="nil"/>
              <w:left w:val="nil"/>
              <w:bottom w:val="single" w:sz="4" w:space="0" w:color="203764"/>
              <w:right w:val="single" w:sz="4" w:space="0" w:color="auto"/>
            </w:tcBorders>
            <w:shd w:val="clear" w:color="auto" w:fill="D9D9D9" w:themeFill="background1" w:themeFillShade="D9"/>
            <w:vAlign w:val="center"/>
            <w:hideMark/>
          </w:tcPr>
          <w:p w14:paraId="6DB92DBE" w14:textId="77777777" w:rsidR="00ED33C8" w:rsidRPr="008F7DA1" w:rsidRDefault="00ED33C8" w:rsidP="006F5F60">
            <w:pPr>
              <w:spacing w:after="0" w:line="240" w:lineRule="auto"/>
              <w:jc w:val="right"/>
              <w:rPr>
                <w:rFonts w:ascii="Calibri" w:eastAsia="Times New Roman" w:hAnsi="Calibri" w:cs="Calibri"/>
                <w:sz w:val="24"/>
                <w:szCs w:val="24"/>
                <w:lang w:eastAsia="it-IT"/>
              </w:rPr>
            </w:pPr>
            <w:r w:rsidRPr="008F7DA1">
              <w:rPr>
                <w:rFonts w:ascii="Calibri" w:eastAsia="Times New Roman" w:hAnsi="Calibri" w:cs="Calibri"/>
                <w:sz w:val="24"/>
                <w:szCs w:val="24"/>
                <w:lang w:eastAsia="it-IT"/>
              </w:rPr>
              <w:t>18</w:t>
            </w:r>
          </w:p>
        </w:tc>
      </w:tr>
      <w:tr w:rsidR="00ED33C8" w:rsidRPr="00B276BD" w14:paraId="00E3394F" w14:textId="77777777" w:rsidTr="0094224D">
        <w:trPr>
          <w:trHeight w:val="315"/>
        </w:trPr>
        <w:tc>
          <w:tcPr>
            <w:tcW w:w="6480" w:type="dxa"/>
            <w:tcBorders>
              <w:top w:val="nil"/>
              <w:left w:val="single" w:sz="4" w:space="0" w:color="auto"/>
              <w:bottom w:val="single" w:sz="4" w:space="0" w:color="203764"/>
              <w:right w:val="single" w:sz="4" w:space="0" w:color="203764"/>
            </w:tcBorders>
            <w:shd w:val="clear" w:color="auto" w:fill="D9D9D9" w:themeFill="background1" w:themeFillShade="D9"/>
            <w:vAlign w:val="center"/>
            <w:hideMark/>
          </w:tcPr>
          <w:p w14:paraId="0BE5C46E" w14:textId="77777777" w:rsidR="00ED33C8" w:rsidRPr="008F7DA1" w:rsidRDefault="00ED33C8" w:rsidP="006F5F60">
            <w:pPr>
              <w:spacing w:after="0" w:line="240" w:lineRule="auto"/>
              <w:rPr>
                <w:rFonts w:ascii="Calibri" w:eastAsia="Times New Roman" w:hAnsi="Calibri" w:cs="Calibri"/>
                <w:sz w:val="24"/>
                <w:szCs w:val="24"/>
                <w:lang w:eastAsia="it-IT"/>
              </w:rPr>
            </w:pPr>
            <w:r w:rsidRPr="008F7DA1">
              <w:rPr>
                <w:rFonts w:ascii="Calibri" w:eastAsia="Times New Roman" w:hAnsi="Calibri" w:cs="Calibri"/>
                <w:sz w:val="24"/>
                <w:szCs w:val="24"/>
                <w:lang w:eastAsia="it-IT"/>
              </w:rPr>
              <w:t>Autista Forklift</w:t>
            </w:r>
          </w:p>
        </w:tc>
        <w:tc>
          <w:tcPr>
            <w:tcW w:w="2400" w:type="dxa"/>
            <w:tcBorders>
              <w:top w:val="nil"/>
              <w:left w:val="nil"/>
              <w:bottom w:val="single" w:sz="4" w:space="0" w:color="203764"/>
              <w:right w:val="single" w:sz="4" w:space="0" w:color="auto"/>
            </w:tcBorders>
            <w:shd w:val="clear" w:color="auto" w:fill="D9D9D9" w:themeFill="background1" w:themeFillShade="D9"/>
            <w:vAlign w:val="center"/>
            <w:hideMark/>
          </w:tcPr>
          <w:p w14:paraId="08AD7161" w14:textId="77777777" w:rsidR="00ED33C8" w:rsidRPr="008F7DA1" w:rsidRDefault="00ED33C8" w:rsidP="006F5F60">
            <w:pPr>
              <w:spacing w:after="0" w:line="240" w:lineRule="auto"/>
              <w:jc w:val="right"/>
              <w:rPr>
                <w:rFonts w:ascii="Calibri" w:eastAsia="Times New Roman" w:hAnsi="Calibri" w:cs="Calibri"/>
                <w:sz w:val="24"/>
                <w:szCs w:val="24"/>
                <w:lang w:eastAsia="it-IT"/>
              </w:rPr>
            </w:pPr>
            <w:r w:rsidRPr="008F7DA1">
              <w:rPr>
                <w:rFonts w:ascii="Calibri" w:eastAsia="Times New Roman" w:hAnsi="Calibri" w:cs="Calibri"/>
                <w:sz w:val="24"/>
                <w:szCs w:val="24"/>
                <w:lang w:eastAsia="it-IT"/>
              </w:rPr>
              <w:t>18</w:t>
            </w:r>
          </w:p>
        </w:tc>
      </w:tr>
      <w:tr w:rsidR="00ED33C8" w:rsidRPr="00B276BD" w14:paraId="6FC11344" w14:textId="77777777" w:rsidTr="0094224D">
        <w:trPr>
          <w:trHeight w:val="315"/>
        </w:trPr>
        <w:tc>
          <w:tcPr>
            <w:tcW w:w="6480" w:type="dxa"/>
            <w:tcBorders>
              <w:top w:val="nil"/>
              <w:left w:val="single" w:sz="4" w:space="0" w:color="auto"/>
              <w:bottom w:val="single" w:sz="4" w:space="0" w:color="203764"/>
              <w:right w:val="single" w:sz="4" w:space="0" w:color="203764"/>
            </w:tcBorders>
            <w:shd w:val="clear" w:color="auto" w:fill="D9D9D9" w:themeFill="background1" w:themeFillShade="D9"/>
            <w:vAlign w:val="center"/>
            <w:hideMark/>
          </w:tcPr>
          <w:p w14:paraId="281A3F7A" w14:textId="77777777" w:rsidR="00ED33C8" w:rsidRPr="008F7DA1" w:rsidRDefault="00ED33C8" w:rsidP="006F5F60">
            <w:pPr>
              <w:spacing w:after="0" w:line="240" w:lineRule="auto"/>
              <w:rPr>
                <w:rFonts w:ascii="Calibri" w:eastAsia="Times New Roman" w:hAnsi="Calibri" w:cs="Calibri"/>
                <w:sz w:val="24"/>
                <w:szCs w:val="24"/>
                <w:lang w:eastAsia="it-IT"/>
              </w:rPr>
            </w:pPr>
            <w:r w:rsidRPr="008F7DA1">
              <w:rPr>
                <w:rFonts w:ascii="Calibri" w:eastAsia="Times New Roman" w:hAnsi="Calibri" w:cs="Calibri"/>
                <w:sz w:val="24"/>
                <w:szCs w:val="24"/>
                <w:lang w:eastAsia="it-IT"/>
              </w:rPr>
              <w:t>Rischio medio</w:t>
            </w:r>
          </w:p>
        </w:tc>
        <w:tc>
          <w:tcPr>
            <w:tcW w:w="2400" w:type="dxa"/>
            <w:tcBorders>
              <w:top w:val="nil"/>
              <w:left w:val="nil"/>
              <w:bottom w:val="single" w:sz="4" w:space="0" w:color="203764"/>
              <w:right w:val="single" w:sz="4" w:space="0" w:color="auto"/>
            </w:tcBorders>
            <w:shd w:val="clear" w:color="auto" w:fill="D9D9D9" w:themeFill="background1" w:themeFillShade="D9"/>
            <w:vAlign w:val="center"/>
            <w:hideMark/>
          </w:tcPr>
          <w:p w14:paraId="1201F282" w14:textId="77777777" w:rsidR="00ED33C8" w:rsidRPr="008F7DA1" w:rsidRDefault="00ED33C8" w:rsidP="006F5F60">
            <w:pPr>
              <w:spacing w:after="0" w:line="240" w:lineRule="auto"/>
              <w:jc w:val="right"/>
              <w:rPr>
                <w:rFonts w:ascii="Calibri" w:eastAsia="Times New Roman" w:hAnsi="Calibri" w:cs="Calibri"/>
                <w:sz w:val="24"/>
                <w:szCs w:val="24"/>
                <w:lang w:eastAsia="it-IT"/>
              </w:rPr>
            </w:pPr>
            <w:r w:rsidRPr="008F7DA1">
              <w:rPr>
                <w:rFonts w:ascii="Calibri" w:eastAsia="Times New Roman" w:hAnsi="Calibri" w:cs="Calibri"/>
                <w:sz w:val="24"/>
                <w:szCs w:val="24"/>
                <w:lang w:eastAsia="it-IT"/>
              </w:rPr>
              <w:t>6</w:t>
            </w:r>
          </w:p>
        </w:tc>
      </w:tr>
      <w:tr w:rsidR="00ED33C8" w:rsidRPr="00B276BD" w14:paraId="7D801059" w14:textId="77777777" w:rsidTr="0094224D">
        <w:trPr>
          <w:trHeight w:val="315"/>
        </w:trPr>
        <w:tc>
          <w:tcPr>
            <w:tcW w:w="6480" w:type="dxa"/>
            <w:tcBorders>
              <w:top w:val="nil"/>
              <w:left w:val="single" w:sz="4" w:space="0" w:color="auto"/>
              <w:bottom w:val="single" w:sz="4" w:space="0" w:color="auto"/>
              <w:right w:val="single" w:sz="4" w:space="0" w:color="203764"/>
            </w:tcBorders>
            <w:shd w:val="clear" w:color="auto" w:fill="D9D9D9" w:themeFill="background1" w:themeFillShade="D9"/>
            <w:vAlign w:val="center"/>
            <w:hideMark/>
          </w:tcPr>
          <w:p w14:paraId="5D0D1C70" w14:textId="77777777" w:rsidR="00ED33C8" w:rsidRPr="008F7DA1" w:rsidRDefault="00ED33C8" w:rsidP="006F5F60">
            <w:pPr>
              <w:spacing w:after="0" w:line="240" w:lineRule="auto"/>
              <w:rPr>
                <w:rFonts w:ascii="Calibri" w:eastAsia="Times New Roman" w:hAnsi="Calibri" w:cs="Calibri"/>
                <w:b/>
                <w:bCs/>
                <w:sz w:val="24"/>
                <w:szCs w:val="24"/>
                <w:lang w:eastAsia="it-IT"/>
              </w:rPr>
            </w:pPr>
            <w:r w:rsidRPr="008F7DA1">
              <w:rPr>
                <w:rFonts w:ascii="Calibri" w:eastAsia="Times New Roman" w:hAnsi="Calibri" w:cs="Calibri"/>
                <w:b/>
                <w:bCs/>
                <w:sz w:val="24"/>
                <w:szCs w:val="24"/>
                <w:lang w:eastAsia="it-IT"/>
              </w:rPr>
              <w:t>Totale ore</w:t>
            </w:r>
          </w:p>
        </w:tc>
        <w:tc>
          <w:tcPr>
            <w:tcW w:w="2400" w:type="dxa"/>
            <w:tcBorders>
              <w:top w:val="nil"/>
              <w:left w:val="nil"/>
              <w:bottom w:val="single" w:sz="4" w:space="0" w:color="auto"/>
              <w:right w:val="single" w:sz="4" w:space="0" w:color="auto"/>
            </w:tcBorders>
            <w:shd w:val="clear" w:color="auto" w:fill="D9D9D9" w:themeFill="background1" w:themeFillShade="D9"/>
            <w:vAlign w:val="center"/>
            <w:hideMark/>
          </w:tcPr>
          <w:p w14:paraId="5B08D92A" w14:textId="77777777" w:rsidR="00ED33C8" w:rsidRPr="008F7DA1" w:rsidRDefault="00ED33C8" w:rsidP="006F5F60">
            <w:pPr>
              <w:spacing w:after="0" w:line="240" w:lineRule="auto"/>
              <w:jc w:val="right"/>
              <w:rPr>
                <w:rFonts w:ascii="Calibri" w:eastAsia="Times New Roman" w:hAnsi="Calibri" w:cs="Calibri"/>
                <w:b/>
                <w:bCs/>
                <w:sz w:val="24"/>
                <w:szCs w:val="24"/>
                <w:lang w:eastAsia="it-IT"/>
              </w:rPr>
            </w:pPr>
            <w:r w:rsidRPr="008F7DA1">
              <w:rPr>
                <w:rFonts w:ascii="Calibri" w:eastAsia="Times New Roman" w:hAnsi="Calibri" w:cs="Calibri"/>
                <w:b/>
                <w:bCs/>
                <w:sz w:val="24"/>
                <w:szCs w:val="24"/>
                <w:lang w:eastAsia="it-IT"/>
              </w:rPr>
              <w:t>62</w:t>
            </w:r>
          </w:p>
        </w:tc>
      </w:tr>
    </w:tbl>
    <w:p w14:paraId="0B776C97" w14:textId="49908E21" w:rsidR="007D364F" w:rsidRDefault="007D364F" w:rsidP="00782261">
      <w:pPr>
        <w:jc w:val="both"/>
      </w:pPr>
      <w:r>
        <w:rPr>
          <w:noProof/>
          <w:lang w:eastAsia="it-IT"/>
        </w:rPr>
        <mc:AlternateContent>
          <mc:Choice Requires="wps">
            <w:drawing>
              <wp:anchor distT="0" distB="0" distL="114300" distR="114300" simplePos="0" relativeHeight="251689984" behindDoc="0" locked="0" layoutInCell="1" allowOverlap="1" wp14:anchorId="400A4526" wp14:editId="111BB449">
                <wp:simplePos x="0" y="0"/>
                <wp:positionH relativeFrom="margin">
                  <wp:posOffset>-635</wp:posOffset>
                </wp:positionH>
                <wp:positionV relativeFrom="paragraph">
                  <wp:posOffset>-3014</wp:posOffset>
                </wp:positionV>
                <wp:extent cx="5650252" cy="253365"/>
                <wp:effectExtent l="0" t="0" r="26670" b="13335"/>
                <wp:wrapNone/>
                <wp:docPr id="22" name="Casella di testo 22"/>
                <wp:cNvGraphicFramePr/>
                <a:graphic xmlns:a="http://schemas.openxmlformats.org/drawingml/2006/main">
                  <a:graphicData uri="http://schemas.microsoft.com/office/word/2010/wordprocessingShape">
                    <wps:wsp>
                      <wps:cNvSpPr txBox="1"/>
                      <wps:spPr>
                        <a:xfrm>
                          <a:off x="0" y="0"/>
                          <a:ext cx="5650252" cy="25336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F0AB222" w14:textId="3C46B662" w:rsidR="007D364F" w:rsidRPr="00A549AF" w:rsidRDefault="007D364F" w:rsidP="007D364F">
                            <w:pPr>
                              <w:rPr>
                                <w:sz w:val="16"/>
                                <w:szCs w:val="16"/>
                              </w:rPr>
                            </w:pPr>
                            <w:r>
                              <w:rPr>
                                <w:sz w:val="16"/>
                                <w:szCs w:val="16"/>
                              </w:rPr>
                              <w:t>Tab. 1</w:t>
                            </w:r>
                            <w:r w:rsidR="00B51AFE">
                              <w:rPr>
                                <w:sz w:val="16"/>
                                <w:szCs w:val="16"/>
                              </w:rPr>
                              <w:t>1</w:t>
                            </w:r>
                            <w:r>
                              <w:rPr>
                                <w:sz w:val="16"/>
                                <w:szCs w:val="16"/>
                              </w:rPr>
                              <w:t xml:space="preserve">: </w:t>
                            </w:r>
                            <w:r w:rsidRPr="007D364F">
                              <w:rPr>
                                <w:sz w:val="16"/>
                                <w:szCs w:val="16"/>
                              </w:rPr>
                              <w:t>all’attività di formazione prevista dal comma 8 dell’articolo 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400A4526" id="Casella di testo 22" o:spid="_x0000_s1035" type="#_x0000_t202" style="position:absolute;left:0;text-align:left;margin-left:-.05pt;margin-top:-.25pt;width:444.9pt;height:19.9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" fillcolor="white [3201]" strokeweight=".5pt">
                <v:textbox>
                  <w:txbxContent>
                    <w:p w14:paraId="2F0AB222" w14:textId="3C46B662" w:rsidR="007D364F" w:rsidRPr="00A549AF" w:rsidRDefault="007D364F" w:rsidP="007D364F">
                      <w:pPr>
                        <w:rPr>
                          <w:sz w:val="16"/>
                          <w:szCs w:val="16"/>
                        </w:rPr>
                      </w:pPr>
                      <w:r>
                        <w:rPr>
                          <w:sz w:val="16"/>
                          <w:szCs w:val="16"/>
                        </w:rPr>
                        <w:t>Tab. 1</w:t>
                      </w:r>
                      <w:r w:rsidR="00B51AFE">
                        <w:rPr>
                          <w:sz w:val="16"/>
                          <w:szCs w:val="16"/>
                        </w:rPr>
                        <w:t>1</w:t>
                      </w:r>
                      <w:r>
                        <w:rPr>
                          <w:sz w:val="16"/>
                          <w:szCs w:val="16"/>
                        </w:rPr>
                        <w:t xml:space="preserve">: </w:t>
                      </w:r>
                      <w:r w:rsidRPr="007D364F">
                        <w:rPr>
                          <w:sz w:val="16"/>
                          <w:szCs w:val="16"/>
                        </w:rPr>
                        <w:t>all’attività di formazione prevista dal comma 8 dell’articolo 17.</w:t>
                      </w:r>
                    </w:p>
                  </w:txbxContent>
                </v:textbox>
                <w10:wrap anchorx="margin"/>
              </v:shape>
            </w:pict>
          </mc:Fallback>
        </mc:AlternateContent>
      </w:r>
    </w:p>
    <w:p w14:paraId="5AB61E67" w14:textId="3945E5E0" w:rsidR="003727E9" w:rsidRDefault="003727E9" w:rsidP="00782261">
      <w:pPr>
        <w:jc w:val="both"/>
      </w:pPr>
    </w:p>
    <w:p w14:paraId="4716EB09" w14:textId="34E088C0" w:rsidR="00E0618C" w:rsidRPr="00F8380B" w:rsidRDefault="00E0618C" w:rsidP="002D4276">
      <w:pPr>
        <w:pStyle w:val="Titolo3"/>
        <w:numPr>
          <w:ilvl w:val="2"/>
          <w:numId w:val="9"/>
        </w:numPr>
        <w:rPr>
          <w:u w:val="single"/>
        </w:rPr>
      </w:pPr>
      <w:bookmarkStart w:id="19" w:name="_Toc103881186"/>
      <w:r w:rsidRPr="00F8380B">
        <w:rPr>
          <w:u w:val="single"/>
        </w:rPr>
        <w:t>Notizie in merito all’applicazione del comma 15 bis dell’articolo 17.</w:t>
      </w:r>
      <w:bookmarkEnd w:id="19"/>
    </w:p>
    <w:p w14:paraId="55439C99" w14:textId="77777777" w:rsidR="00E0618C" w:rsidRDefault="00E0618C" w:rsidP="00E0618C">
      <w:pPr>
        <w:jc w:val="both"/>
      </w:pPr>
      <w:r>
        <w:t>Nel corso del 2021 il soggetto di cui all’art. 17 L. 84/1994 autorizzato nel porto di Venezia ha chiesto l'applicazione degli interventi ammessi dal comma 15 bis del citato articolo per sostenere l'occupazione e far erogare la formazione obbligatoria prevista dalla normativa nazionale di settore.</w:t>
      </w:r>
    </w:p>
    <w:p w14:paraId="1DDB7BBE" w14:textId="77777777" w:rsidR="00E0618C" w:rsidRDefault="00E0618C" w:rsidP="00E0618C">
      <w:pPr>
        <w:jc w:val="both"/>
      </w:pPr>
      <w:r>
        <w:t>La scrivente Autorità, raccolte le istanze e a seguito di valutazioni ed approfondimenti, ha predisposto l’erogazione della formazione obbligatoria per entrambi i soggetti, sostenendo i costi di formazione e riconoscendo alla società € 190,00 per ogni giornata non lavorata e impiegata in attività formativa.</w:t>
      </w:r>
    </w:p>
    <w:p w14:paraId="67814EA4" w14:textId="4EF8BD6C" w:rsidR="003727E9" w:rsidRDefault="00472452" w:rsidP="00E0618C">
      <w:pPr>
        <w:jc w:val="both"/>
      </w:pPr>
      <w:r>
        <w:rPr>
          <w:noProof/>
          <w:lang w:eastAsia="it-IT"/>
        </w:rPr>
        <w:lastRenderedPageBreak/>
        <mc:AlternateContent>
          <mc:Choice Requires="wps">
            <w:drawing>
              <wp:anchor distT="0" distB="0" distL="114300" distR="114300" simplePos="0" relativeHeight="251692032" behindDoc="0" locked="0" layoutInCell="1" allowOverlap="1" wp14:anchorId="21C58178" wp14:editId="364464AB">
                <wp:simplePos x="0" y="0"/>
                <wp:positionH relativeFrom="margin">
                  <wp:align>left</wp:align>
                </wp:positionH>
                <wp:positionV relativeFrom="paragraph">
                  <wp:posOffset>1551305</wp:posOffset>
                </wp:positionV>
                <wp:extent cx="5848066" cy="253365"/>
                <wp:effectExtent l="0" t="0" r="19685" b="13335"/>
                <wp:wrapNone/>
                <wp:docPr id="23" name="Casella di testo 23"/>
                <wp:cNvGraphicFramePr/>
                <a:graphic xmlns:a="http://schemas.openxmlformats.org/drawingml/2006/main">
                  <a:graphicData uri="http://schemas.microsoft.com/office/word/2010/wordprocessingShape">
                    <wps:wsp>
                      <wps:cNvSpPr txBox="1"/>
                      <wps:spPr>
                        <a:xfrm>
                          <a:off x="0" y="0"/>
                          <a:ext cx="5848066" cy="25336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FFF1E27" w14:textId="5B6BB653" w:rsidR="007D364F" w:rsidRPr="00A549AF" w:rsidRDefault="007D364F" w:rsidP="007D364F">
                            <w:pPr>
                              <w:rPr>
                                <w:sz w:val="16"/>
                                <w:szCs w:val="16"/>
                              </w:rPr>
                            </w:pPr>
                            <w:r>
                              <w:rPr>
                                <w:sz w:val="16"/>
                                <w:szCs w:val="16"/>
                              </w:rPr>
                              <w:t>Tab. 1</w:t>
                            </w:r>
                            <w:r w:rsidR="00B51AFE">
                              <w:rPr>
                                <w:sz w:val="16"/>
                                <w:szCs w:val="16"/>
                              </w:rPr>
                              <w:t>2</w:t>
                            </w:r>
                            <w:r>
                              <w:rPr>
                                <w:sz w:val="16"/>
                                <w:szCs w:val="16"/>
                              </w:rPr>
                              <w:t xml:space="preserve">: </w:t>
                            </w:r>
                            <w:r w:rsidRPr="007D364F">
                              <w:rPr>
                                <w:sz w:val="16"/>
                                <w:szCs w:val="16"/>
                              </w:rPr>
                              <w:t>att</w:t>
                            </w:r>
                            <w:r>
                              <w:rPr>
                                <w:sz w:val="16"/>
                                <w:szCs w:val="16"/>
                              </w:rPr>
                              <w:t xml:space="preserve">ività di formazione prevista in base </w:t>
                            </w:r>
                            <w:r w:rsidRPr="007D364F">
                              <w:rPr>
                                <w:sz w:val="16"/>
                                <w:szCs w:val="16"/>
                              </w:rPr>
                              <w:t>all’applicazione del comma 15 bis dell’articolo 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21C58178" id="Casella di testo 23" o:spid="_x0000_s1036" type="#_x0000_t202" style="position:absolute;left:0;text-align:left;margin-left:0;margin-top:122.15pt;width:460.5pt;height:19.95pt;z-index:2516920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" fillcolor="white [3201]" strokeweight=".5pt">
                <v:textbox>
                  <w:txbxContent>
                    <w:p w14:paraId="7FFF1E27" w14:textId="5B6BB653" w:rsidR="007D364F" w:rsidRPr="00A549AF" w:rsidRDefault="007D364F" w:rsidP="007D364F">
                      <w:pPr>
                        <w:rPr>
                          <w:sz w:val="16"/>
                          <w:szCs w:val="16"/>
                        </w:rPr>
                      </w:pPr>
                      <w:r>
                        <w:rPr>
                          <w:sz w:val="16"/>
                          <w:szCs w:val="16"/>
                        </w:rPr>
                        <w:t>Tab. 1</w:t>
                      </w:r>
                      <w:r w:rsidR="00B51AFE">
                        <w:rPr>
                          <w:sz w:val="16"/>
                          <w:szCs w:val="16"/>
                        </w:rPr>
                        <w:t>2</w:t>
                      </w:r>
                      <w:r>
                        <w:rPr>
                          <w:sz w:val="16"/>
                          <w:szCs w:val="16"/>
                        </w:rPr>
                        <w:t xml:space="preserve">: </w:t>
                      </w:r>
                      <w:r w:rsidRPr="007D364F">
                        <w:rPr>
                          <w:sz w:val="16"/>
                          <w:szCs w:val="16"/>
                        </w:rPr>
                        <w:t>att</w:t>
                      </w:r>
                      <w:r>
                        <w:rPr>
                          <w:sz w:val="16"/>
                          <w:szCs w:val="16"/>
                        </w:rPr>
                        <w:t xml:space="preserve">ività di formazione prevista in base </w:t>
                      </w:r>
                      <w:r w:rsidRPr="007D364F">
                        <w:rPr>
                          <w:sz w:val="16"/>
                          <w:szCs w:val="16"/>
                        </w:rPr>
                        <w:t>all’applicazione del comma 15 bis dell’articolo 17</w:t>
                      </w:r>
                    </w:p>
                  </w:txbxContent>
                </v:textbox>
                <w10:wrap anchorx="margin"/>
              </v:shape>
            </w:pict>
          </mc:Fallback>
        </mc:AlternateContent>
      </w:r>
      <w:r w:rsidR="00E0618C">
        <w:t>Di seguito le attività formative condotte nel 2021 per Nuova CLP:</w:t>
      </w:r>
    </w:p>
    <w:tbl>
      <w:tblPr>
        <w:tblStyle w:val="Grigliatabella"/>
        <w:tblpPr w:leftFromText="141" w:rightFromText="141" w:vertAnchor="text" w:horzAnchor="margin" w:tblpY="43"/>
        <w:tblW w:w="0" w:type="auto"/>
        <w:tblLook w:val="04A0" w:firstRow="1" w:lastRow="0" w:firstColumn="1" w:lastColumn="0" w:noHBand="0" w:noVBand="1"/>
      </w:tblPr>
      <w:tblGrid>
        <w:gridCol w:w="6374"/>
        <w:gridCol w:w="1276"/>
        <w:gridCol w:w="1559"/>
      </w:tblGrid>
      <w:tr w:rsidR="00472452" w14:paraId="764E608A" w14:textId="77777777" w:rsidTr="00472452">
        <w:tc>
          <w:tcPr>
            <w:tcW w:w="6374" w:type="dxa"/>
            <w:shd w:val="clear" w:color="auto" w:fill="A6A6A6" w:themeFill="background1" w:themeFillShade="A6"/>
          </w:tcPr>
          <w:p w14:paraId="508EB372" w14:textId="77777777" w:rsidR="00472452" w:rsidRPr="00F93561" w:rsidRDefault="00472452" w:rsidP="00472452">
            <w:pPr>
              <w:rPr>
                <w:b/>
                <w:bCs/>
                <w:noProof/>
                <w:lang w:eastAsia="it-IT"/>
              </w:rPr>
            </w:pPr>
            <w:r w:rsidRPr="00F93561">
              <w:rPr>
                <w:b/>
                <w:bCs/>
                <w:noProof/>
                <w:lang w:eastAsia="it-IT"/>
              </w:rPr>
              <w:t>Descrizione corso</w:t>
            </w:r>
          </w:p>
        </w:tc>
        <w:tc>
          <w:tcPr>
            <w:tcW w:w="1276" w:type="dxa"/>
            <w:shd w:val="clear" w:color="auto" w:fill="A6A6A6" w:themeFill="background1" w:themeFillShade="A6"/>
          </w:tcPr>
          <w:p w14:paraId="0D8702D8" w14:textId="77777777" w:rsidR="00472452" w:rsidRDefault="00472452" w:rsidP="00472452">
            <w:pPr>
              <w:rPr>
                <w:noProof/>
                <w:lang w:eastAsia="it-IT"/>
              </w:rPr>
            </w:pPr>
            <w:r>
              <w:rPr>
                <w:noProof/>
                <w:lang w:eastAsia="it-IT"/>
              </w:rPr>
              <w:t>durata in h</w:t>
            </w:r>
          </w:p>
        </w:tc>
        <w:tc>
          <w:tcPr>
            <w:tcW w:w="1559" w:type="dxa"/>
            <w:shd w:val="clear" w:color="auto" w:fill="A6A6A6" w:themeFill="background1" w:themeFillShade="A6"/>
          </w:tcPr>
          <w:p w14:paraId="0F84D790" w14:textId="77777777" w:rsidR="00472452" w:rsidRDefault="00472452" w:rsidP="00472452">
            <w:pPr>
              <w:rPr>
                <w:noProof/>
                <w:lang w:eastAsia="it-IT"/>
              </w:rPr>
            </w:pPr>
            <w:r>
              <w:rPr>
                <w:noProof/>
                <w:lang w:eastAsia="it-IT"/>
              </w:rPr>
              <w:t>n. partecipanti</w:t>
            </w:r>
          </w:p>
        </w:tc>
      </w:tr>
      <w:tr w:rsidR="00472452" w14:paraId="2778FE8B" w14:textId="77777777" w:rsidTr="00472452">
        <w:tc>
          <w:tcPr>
            <w:tcW w:w="6374" w:type="dxa"/>
            <w:shd w:val="clear" w:color="auto" w:fill="D9D9D9" w:themeFill="background1" w:themeFillShade="D9"/>
          </w:tcPr>
          <w:p w14:paraId="37DA74EF" w14:textId="77777777" w:rsidR="00472452" w:rsidRDefault="00472452" w:rsidP="00472452">
            <w:pPr>
              <w:rPr>
                <w:noProof/>
                <w:lang w:eastAsia="it-IT"/>
              </w:rPr>
            </w:pPr>
            <w:r>
              <w:rPr>
                <w:noProof/>
                <w:lang w:eastAsia="it-IT"/>
              </w:rPr>
              <w:t xml:space="preserve">Corso di aggiornamento Formazione lavoratori ASR (sicurezza nave) </w:t>
            </w:r>
          </w:p>
        </w:tc>
        <w:tc>
          <w:tcPr>
            <w:tcW w:w="1276" w:type="dxa"/>
            <w:shd w:val="clear" w:color="auto" w:fill="D9D9D9" w:themeFill="background1" w:themeFillShade="D9"/>
          </w:tcPr>
          <w:p w14:paraId="52C4D6C1" w14:textId="77777777" w:rsidR="00472452" w:rsidRDefault="00472452" w:rsidP="00472452">
            <w:pPr>
              <w:jc w:val="center"/>
              <w:rPr>
                <w:noProof/>
                <w:lang w:eastAsia="it-IT"/>
              </w:rPr>
            </w:pPr>
            <w:r>
              <w:rPr>
                <w:noProof/>
                <w:lang w:eastAsia="it-IT"/>
              </w:rPr>
              <w:t>6</w:t>
            </w:r>
          </w:p>
        </w:tc>
        <w:tc>
          <w:tcPr>
            <w:tcW w:w="1559" w:type="dxa"/>
            <w:shd w:val="clear" w:color="auto" w:fill="D9D9D9" w:themeFill="background1" w:themeFillShade="D9"/>
          </w:tcPr>
          <w:p w14:paraId="646F9376" w14:textId="77777777" w:rsidR="00472452" w:rsidRDefault="00472452" w:rsidP="00472452">
            <w:pPr>
              <w:jc w:val="center"/>
              <w:rPr>
                <w:noProof/>
                <w:lang w:eastAsia="it-IT"/>
              </w:rPr>
            </w:pPr>
            <w:r>
              <w:rPr>
                <w:noProof/>
                <w:lang w:eastAsia="it-IT"/>
              </w:rPr>
              <w:t>96</w:t>
            </w:r>
          </w:p>
        </w:tc>
      </w:tr>
      <w:tr w:rsidR="00472452" w14:paraId="6C086787" w14:textId="77777777" w:rsidTr="00472452">
        <w:tc>
          <w:tcPr>
            <w:tcW w:w="6374" w:type="dxa"/>
            <w:shd w:val="clear" w:color="auto" w:fill="D9D9D9" w:themeFill="background1" w:themeFillShade="D9"/>
          </w:tcPr>
          <w:p w14:paraId="67C9EAD1" w14:textId="77777777" w:rsidR="00472452" w:rsidRDefault="00472452" w:rsidP="00472452">
            <w:pPr>
              <w:rPr>
                <w:noProof/>
                <w:lang w:eastAsia="it-IT"/>
              </w:rPr>
            </w:pPr>
            <w:r>
              <w:rPr>
                <w:noProof/>
                <w:lang w:eastAsia="it-IT"/>
              </w:rPr>
              <w:t>Corso di aggiornamento gru mobile ASR</w:t>
            </w:r>
          </w:p>
        </w:tc>
        <w:tc>
          <w:tcPr>
            <w:tcW w:w="1276" w:type="dxa"/>
            <w:shd w:val="clear" w:color="auto" w:fill="D9D9D9" w:themeFill="background1" w:themeFillShade="D9"/>
          </w:tcPr>
          <w:p w14:paraId="48424957" w14:textId="77777777" w:rsidR="00472452" w:rsidRDefault="00472452" w:rsidP="00472452">
            <w:pPr>
              <w:jc w:val="center"/>
              <w:rPr>
                <w:noProof/>
                <w:lang w:eastAsia="it-IT"/>
              </w:rPr>
            </w:pPr>
            <w:r>
              <w:rPr>
                <w:noProof/>
                <w:lang w:eastAsia="it-IT"/>
              </w:rPr>
              <w:t>6</w:t>
            </w:r>
          </w:p>
        </w:tc>
        <w:tc>
          <w:tcPr>
            <w:tcW w:w="1559" w:type="dxa"/>
            <w:shd w:val="clear" w:color="auto" w:fill="D9D9D9" w:themeFill="background1" w:themeFillShade="D9"/>
          </w:tcPr>
          <w:p w14:paraId="32045A49" w14:textId="77777777" w:rsidR="00472452" w:rsidRDefault="00472452" w:rsidP="00472452">
            <w:pPr>
              <w:jc w:val="center"/>
              <w:rPr>
                <w:noProof/>
                <w:lang w:eastAsia="it-IT"/>
              </w:rPr>
            </w:pPr>
            <w:r>
              <w:rPr>
                <w:noProof/>
                <w:lang w:eastAsia="it-IT"/>
              </w:rPr>
              <w:t>45</w:t>
            </w:r>
          </w:p>
        </w:tc>
      </w:tr>
      <w:tr w:rsidR="00472452" w14:paraId="6420F939" w14:textId="77777777" w:rsidTr="00472452">
        <w:tc>
          <w:tcPr>
            <w:tcW w:w="6374" w:type="dxa"/>
            <w:shd w:val="clear" w:color="auto" w:fill="D9D9D9" w:themeFill="background1" w:themeFillShade="D9"/>
          </w:tcPr>
          <w:p w14:paraId="19788B0D" w14:textId="77777777" w:rsidR="00472452" w:rsidRDefault="00472452" w:rsidP="00472452">
            <w:pPr>
              <w:rPr>
                <w:noProof/>
                <w:lang w:eastAsia="it-IT"/>
              </w:rPr>
            </w:pPr>
            <w:r>
              <w:rPr>
                <w:noProof/>
                <w:lang w:eastAsia="it-IT"/>
              </w:rPr>
              <w:t>Corso di aggiornamento Forklift/Stacker ASR</w:t>
            </w:r>
          </w:p>
        </w:tc>
        <w:tc>
          <w:tcPr>
            <w:tcW w:w="1276" w:type="dxa"/>
            <w:shd w:val="clear" w:color="auto" w:fill="D9D9D9" w:themeFill="background1" w:themeFillShade="D9"/>
          </w:tcPr>
          <w:p w14:paraId="407B1F81" w14:textId="77777777" w:rsidR="00472452" w:rsidRDefault="00472452" w:rsidP="00472452">
            <w:pPr>
              <w:jc w:val="center"/>
              <w:rPr>
                <w:noProof/>
                <w:lang w:eastAsia="it-IT"/>
              </w:rPr>
            </w:pPr>
            <w:r>
              <w:rPr>
                <w:noProof/>
                <w:lang w:eastAsia="it-IT"/>
              </w:rPr>
              <w:t>4</w:t>
            </w:r>
          </w:p>
        </w:tc>
        <w:tc>
          <w:tcPr>
            <w:tcW w:w="1559" w:type="dxa"/>
            <w:shd w:val="clear" w:color="auto" w:fill="D9D9D9" w:themeFill="background1" w:themeFillShade="D9"/>
          </w:tcPr>
          <w:p w14:paraId="4E747107" w14:textId="77777777" w:rsidR="00472452" w:rsidRDefault="00472452" w:rsidP="00472452">
            <w:pPr>
              <w:jc w:val="center"/>
              <w:rPr>
                <w:noProof/>
                <w:lang w:eastAsia="it-IT"/>
              </w:rPr>
            </w:pPr>
            <w:r>
              <w:rPr>
                <w:noProof/>
                <w:lang w:eastAsia="it-IT"/>
              </w:rPr>
              <w:t>85</w:t>
            </w:r>
          </w:p>
        </w:tc>
      </w:tr>
      <w:tr w:rsidR="00472452" w14:paraId="73690E7C" w14:textId="77777777" w:rsidTr="00472452">
        <w:tc>
          <w:tcPr>
            <w:tcW w:w="6374" w:type="dxa"/>
            <w:shd w:val="clear" w:color="auto" w:fill="D9D9D9" w:themeFill="background1" w:themeFillShade="D9"/>
          </w:tcPr>
          <w:p w14:paraId="6005FE2F" w14:textId="77777777" w:rsidR="00472452" w:rsidRDefault="00472452" w:rsidP="00472452">
            <w:pPr>
              <w:rPr>
                <w:noProof/>
                <w:lang w:eastAsia="it-IT"/>
              </w:rPr>
            </w:pPr>
            <w:r>
              <w:rPr>
                <w:noProof/>
                <w:lang w:eastAsia="it-IT"/>
              </w:rPr>
              <w:t>Corso di aggiornamento Pale ASR</w:t>
            </w:r>
          </w:p>
        </w:tc>
        <w:tc>
          <w:tcPr>
            <w:tcW w:w="1276" w:type="dxa"/>
            <w:shd w:val="clear" w:color="auto" w:fill="D9D9D9" w:themeFill="background1" w:themeFillShade="D9"/>
          </w:tcPr>
          <w:p w14:paraId="60F5424A" w14:textId="77777777" w:rsidR="00472452" w:rsidRDefault="00472452" w:rsidP="00472452">
            <w:pPr>
              <w:jc w:val="center"/>
              <w:rPr>
                <w:noProof/>
                <w:lang w:eastAsia="it-IT"/>
              </w:rPr>
            </w:pPr>
            <w:r>
              <w:rPr>
                <w:noProof/>
                <w:lang w:eastAsia="it-IT"/>
              </w:rPr>
              <w:t>4</w:t>
            </w:r>
          </w:p>
        </w:tc>
        <w:tc>
          <w:tcPr>
            <w:tcW w:w="1559" w:type="dxa"/>
            <w:shd w:val="clear" w:color="auto" w:fill="D9D9D9" w:themeFill="background1" w:themeFillShade="D9"/>
          </w:tcPr>
          <w:p w14:paraId="3BFCFC55" w14:textId="77777777" w:rsidR="00472452" w:rsidRDefault="00472452" w:rsidP="00472452">
            <w:pPr>
              <w:jc w:val="center"/>
              <w:rPr>
                <w:noProof/>
                <w:lang w:eastAsia="it-IT"/>
              </w:rPr>
            </w:pPr>
            <w:r>
              <w:rPr>
                <w:noProof/>
                <w:lang w:eastAsia="it-IT"/>
              </w:rPr>
              <w:t>59</w:t>
            </w:r>
          </w:p>
        </w:tc>
      </w:tr>
      <w:tr w:rsidR="00472452" w14:paraId="1B7E894A" w14:textId="77777777" w:rsidTr="00472452">
        <w:tc>
          <w:tcPr>
            <w:tcW w:w="6374" w:type="dxa"/>
            <w:shd w:val="clear" w:color="auto" w:fill="D9D9D9" w:themeFill="background1" w:themeFillShade="D9"/>
          </w:tcPr>
          <w:p w14:paraId="205DA170" w14:textId="77777777" w:rsidR="00472452" w:rsidRDefault="00472452" w:rsidP="00472452">
            <w:pPr>
              <w:rPr>
                <w:noProof/>
                <w:lang w:eastAsia="it-IT"/>
              </w:rPr>
            </w:pPr>
            <w:r>
              <w:rPr>
                <w:noProof/>
                <w:lang w:eastAsia="it-IT"/>
              </w:rPr>
              <w:t>Corso di aggiornamento Escavatore ASR</w:t>
            </w:r>
          </w:p>
        </w:tc>
        <w:tc>
          <w:tcPr>
            <w:tcW w:w="1276" w:type="dxa"/>
            <w:shd w:val="clear" w:color="auto" w:fill="D9D9D9" w:themeFill="background1" w:themeFillShade="D9"/>
          </w:tcPr>
          <w:p w14:paraId="4306F8DD" w14:textId="77777777" w:rsidR="00472452" w:rsidRDefault="00472452" w:rsidP="00472452">
            <w:pPr>
              <w:jc w:val="center"/>
              <w:rPr>
                <w:noProof/>
                <w:lang w:eastAsia="it-IT"/>
              </w:rPr>
            </w:pPr>
            <w:r>
              <w:rPr>
                <w:noProof/>
                <w:lang w:eastAsia="it-IT"/>
              </w:rPr>
              <w:t>6</w:t>
            </w:r>
          </w:p>
        </w:tc>
        <w:tc>
          <w:tcPr>
            <w:tcW w:w="1559" w:type="dxa"/>
            <w:shd w:val="clear" w:color="auto" w:fill="D9D9D9" w:themeFill="background1" w:themeFillShade="D9"/>
          </w:tcPr>
          <w:p w14:paraId="7D861272" w14:textId="77777777" w:rsidR="00472452" w:rsidRDefault="00472452" w:rsidP="00472452">
            <w:pPr>
              <w:jc w:val="center"/>
              <w:rPr>
                <w:noProof/>
                <w:lang w:eastAsia="it-IT"/>
              </w:rPr>
            </w:pPr>
            <w:r>
              <w:rPr>
                <w:noProof/>
                <w:lang w:eastAsia="it-IT"/>
              </w:rPr>
              <w:t>56</w:t>
            </w:r>
          </w:p>
        </w:tc>
      </w:tr>
      <w:tr w:rsidR="00472452" w14:paraId="63BECCEE" w14:textId="77777777" w:rsidTr="00472452">
        <w:tc>
          <w:tcPr>
            <w:tcW w:w="6374" w:type="dxa"/>
            <w:shd w:val="clear" w:color="auto" w:fill="D9D9D9" w:themeFill="background1" w:themeFillShade="D9"/>
          </w:tcPr>
          <w:p w14:paraId="6065A8AF" w14:textId="44B17448" w:rsidR="00472452" w:rsidRDefault="00472452" w:rsidP="00472452">
            <w:pPr>
              <w:rPr>
                <w:noProof/>
                <w:lang w:eastAsia="it-IT"/>
              </w:rPr>
            </w:pPr>
            <w:r>
              <w:rPr>
                <w:noProof/>
                <w:lang w:eastAsia="it-IT"/>
              </w:rPr>
              <w:t>Corso di aggiornamento Formazione lavoratori ASR (sicurezza nave)</w:t>
            </w:r>
          </w:p>
        </w:tc>
        <w:tc>
          <w:tcPr>
            <w:tcW w:w="1276" w:type="dxa"/>
            <w:shd w:val="clear" w:color="auto" w:fill="D9D9D9" w:themeFill="background1" w:themeFillShade="D9"/>
          </w:tcPr>
          <w:p w14:paraId="37052262" w14:textId="77777777" w:rsidR="00472452" w:rsidRDefault="00472452" w:rsidP="00472452">
            <w:pPr>
              <w:jc w:val="center"/>
              <w:rPr>
                <w:noProof/>
                <w:lang w:eastAsia="it-IT"/>
              </w:rPr>
            </w:pPr>
            <w:r>
              <w:rPr>
                <w:noProof/>
                <w:lang w:eastAsia="it-IT"/>
              </w:rPr>
              <w:t>4</w:t>
            </w:r>
          </w:p>
        </w:tc>
        <w:tc>
          <w:tcPr>
            <w:tcW w:w="1559" w:type="dxa"/>
            <w:shd w:val="clear" w:color="auto" w:fill="D9D9D9" w:themeFill="background1" w:themeFillShade="D9"/>
          </w:tcPr>
          <w:p w14:paraId="5B04D727" w14:textId="77777777" w:rsidR="00472452" w:rsidRDefault="00472452" w:rsidP="00472452">
            <w:pPr>
              <w:jc w:val="center"/>
              <w:rPr>
                <w:noProof/>
                <w:lang w:eastAsia="it-IT"/>
              </w:rPr>
            </w:pPr>
            <w:r>
              <w:rPr>
                <w:noProof/>
                <w:lang w:eastAsia="it-IT"/>
              </w:rPr>
              <w:t>31</w:t>
            </w:r>
          </w:p>
        </w:tc>
      </w:tr>
    </w:tbl>
    <w:p w14:paraId="17908722" w14:textId="1C283EAA" w:rsidR="00472452" w:rsidRDefault="00472452" w:rsidP="00782261">
      <w:pPr>
        <w:jc w:val="both"/>
      </w:pPr>
    </w:p>
    <w:p w14:paraId="68E5783F" w14:textId="395FAF0A" w:rsidR="003727E9" w:rsidRDefault="003727E9" w:rsidP="00782261">
      <w:pPr>
        <w:jc w:val="both"/>
      </w:pPr>
    </w:p>
    <w:p w14:paraId="1239C621" w14:textId="232DC560" w:rsidR="003727E9" w:rsidRPr="00F8380B" w:rsidRDefault="00474AC0" w:rsidP="002D4276">
      <w:pPr>
        <w:pStyle w:val="Titolo2"/>
        <w:numPr>
          <w:ilvl w:val="1"/>
          <w:numId w:val="9"/>
        </w:numPr>
        <w:rPr>
          <w:u w:val="single"/>
        </w:rPr>
      </w:pPr>
      <w:bookmarkStart w:id="20" w:name="_Toc103881187"/>
      <w:r w:rsidRPr="00F8380B">
        <w:rPr>
          <w:u w:val="single"/>
        </w:rPr>
        <w:t>Notizie in merito all’affidamento di servizi di interesse generale.</w:t>
      </w:r>
      <w:bookmarkEnd w:id="20"/>
    </w:p>
    <w:tbl>
      <w:tblPr>
        <w:tblW w:w="9048"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3237"/>
        <w:gridCol w:w="2268"/>
        <w:gridCol w:w="2551"/>
      </w:tblGrid>
      <w:tr w:rsidR="007961F3" w:rsidRPr="003C4B66" w14:paraId="59478EFC" w14:textId="77777777" w:rsidTr="00E120A7">
        <w:trPr>
          <w:trHeight w:val="235"/>
          <w:tblHeader/>
        </w:trPr>
        <w:tc>
          <w:tcPr>
            <w:tcW w:w="992" w:type="dxa"/>
            <w:shd w:val="clear" w:color="auto" w:fill="A6A6A6" w:themeFill="background1" w:themeFillShade="A6"/>
            <w:vAlign w:val="center"/>
          </w:tcPr>
          <w:p w14:paraId="63EB1298" w14:textId="40BD2683" w:rsidR="007961F3" w:rsidRPr="003C4B66" w:rsidRDefault="007961F3" w:rsidP="007D364F">
            <w:pPr>
              <w:rPr>
                <w:szCs w:val="24"/>
              </w:rPr>
            </w:pPr>
            <w:r w:rsidRPr="003C4B66">
              <w:rPr>
                <w:szCs w:val="24"/>
              </w:rPr>
              <w:br w:type="page"/>
            </w:r>
            <w:r w:rsidR="007D364F">
              <w:rPr>
                <w:b/>
                <w:bCs/>
                <w:i/>
                <w:szCs w:val="24"/>
              </w:rPr>
              <w:t>n.p</w:t>
            </w:r>
            <w:r w:rsidRPr="003C4B66">
              <w:rPr>
                <w:b/>
                <w:bCs/>
                <w:i/>
                <w:szCs w:val="24"/>
              </w:rPr>
              <w:t>rogr.</w:t>
            </w:r>
          </w:p>
        </w:tc>
        <w:tc>
          <w:tcPr>
            <w:tcW w:w="3237" w:type="dxa"/>
            <w:shd w:val="clear" w:color="auto" w:fill="A6A6A6" w:themeFill="background1" w:themeFillShade="A6"/>
            <w:vAlign w:val="center"/>
          </w:tcPr>
          <w:p w14:paraId="4C353865" w14:textId="77777777" w:rsidR="007961F3" w:rsidRPr="003C4B66" w:rsidRDefault="007961F3" w:rsidP="006F5F60">
            <w:pPr>
              <w:rPr>
                <w:b/>
                <w:bCs/>
                <w:i/>
                <w:szCs w:val="24"/>
              </w:rPr>
            </w:pPr>
            <w:r w:rsidRPr="003C4B66">
              <w:rPr>
                <w:b/>
                <w:bCs/>
                <w:i/>
                <w:szCs w:val="24"/>
              </w:rPr>
              <w:t>Descrizione servizio</w:t>
            </w:r>
          </w:p>
        </w:tc>
        <w:tc>
          <w:tcPr>
            <w:tcW w:w="2268" w:type="dxa"/>
            <w:shd w:val="clear" w:color="auto" w:fill="A6A6A6" w:themeFill="background1" w:themeFillShade="A6"/>
            <w:vAlign w:val="center"/>
          </w:tcPr>
          <w:p w14:paraId="30C1591A" w14:textId="77777777" w:rsidR="007961F3" w:rsidRPr="003C4B66" w:rsidRDefault="007961F3" w:rsidP="006F5F60">
            <w:pPr>
              <w:rPr>
                <w:b/>
                <w:bCs/>
                <w:i/>
                <w:szCs w:val="24"/>
              </w:rPr>
            </w:pPr>
            <w:r w:rsidRPr="003C4B66">
              <w:rPr>
                <w:b/>
                <w:bCs/>
                <w:i/>
                <w:szCs w:val="24"/>
              </w:rPr>
              <w:t>Soggetto affidatario</w:t>
            </w:r>
          </w:p>
        </w:tc>
        <w:tc>
          <w:tcPr>
            <w:tcW w:w="2551" w:type="dxa"/>
            <w:shd w:val="clear" w:color="auto" w:fill="A6A6A6" w:themeFill="background1" w:themeFillShade="A6"/>
            <w:vAlign w:val="center"/>
          </w:tcPr>
          <w:p w14:paraId="04840F31" w14:textId="77777777" w:rsidR="007961F3" w:rsidRPr="003C4B66" w:rsidRDefault="007961F3" w:rsidP="006F5F60">
            <w:pPr>
              <w:ind w:left="964" w:hanging="1194"/>
              <w:jc w:val="center"/>
              <w:rPr>
                <w:b/>
                <w:bCs/>
                <w:i/>
                <w:szCs w:val="24"/>
              </w:rPr>
            </w:pPr>
            <w:r w:rsidRPr="003C4B66">
              <w:rPr>
                <w:b/>
                <w:bCs/>
                <w:i/>
                <w:szCs w:val="24"/>
              </w:rPr>
              <w:t>Decorrenza e termine</w:t>
            </w:r>
          </w:p>
        </w:tc>
      </w:tr>
      <w:tr w:rsidR="007961F3" w:rsidRPr="003C4B66" w14:paraId="605E6F9F" w14:textId="77777777" w:rsidTr="00E120A7">
        <w:trPr>
          <w:trHeight w:val="1259"/>
        </w:trPr>
        <w:tc>
          <w:tcPr>
            <w:tcW w:w="992" w:type="dxa"/>
            <w:shd w:val="clear" w:color="auto" w:fill="D9D9D9" w:themeFill="background1" w:themeFillShade="D9"/>
            <w:vAlign w:val="center"/>
          </w:tcPr>
          <w:p w14:paraId="29453EA0" w14:textId="77777777" w:rsidR="007961F3" w:rsidRPr="003C4B66" w:rsidRDefault="007961F3" w:rsidP="006F5F60">
            <w:pPr>
              <w:jc w:val="center"/>
              <w:rPr>
                <w:b/>
                <w:bCs/>
                <w:szCs w:val="24"/>
              </w:rPr>
            </w:pPr>
            <w:r w:rsidRPr="003C4B66">
              <w:rPr>
                <w:b/>
                <w:bCs/>
                <w:szCs w:val="24"/>
              </w:rPr>
              <w:t>1</w:t>
            </w:r>
          </w:p>
        </w:tc>
        <w:tc>
          <w:tcPr>
            <w:tcW w:w="3237" w:type="dxa"/>
            <w:shd w:val="clear" w:color="auto" w:fill="D9D9D9" w:themeFill="background1" w:themeFillShade="D9"/>
            <w:vAlign w:val="center"/>
          </w:tcPr>
          <w:p w14:paraId="60805B3C" w14:textId="77777777" w:rsidR="007961F3" w:rsidRPr="003C4B66" w:rsidRDefault="007961F3" w:rsidP="006F5F60">
            <w:pPr>
              <w:rPr>
                <w:i/>
                <w:sz w:val="20"/>
              </w:rPr>
            </w:pPr>
            <w:r w:rsidRPr="003C4B66">
              <w:rPr>
                <w:bCs/>
                <w:i/>
                <w:sz w:val="20"/>
              </w:rPr>
              <w:t>Servizio di pulizia e disinquinamento degli specchi acquei portuali (Decreto MTN 14 novembre 1994 -  art. 1, lett. B)</w:t>
            </w:r>
          </w:p>
        </w:tc>
        <w:tc>
          <w:tcPr>
            <w:tcW w:w="2268" w:type="dxa"/>
            <w:shd w:val="clear" w:color="auto" w:fill="D9D9D9" w:themeFill="background1" w:themeFillShade="D9"/>
            <w:vAlign w:val="center"/>
          </w:tcPr>
          <w:p w14:paraId="37390834" w14:textId="77777777" w:rsidR="007961F3" w:rsidRPr="003C4B66" w:rsidRDefault="007961F3" w:rsidP="006F5F60">
            <w:pPr>
              <w:jc w:val="center"/>
              <w:rPr>
                <w:sz w:val="20"/>
              </w:rPr>
            </w:pPr>
            <w:r w:rsidRPr="003C4B66">
              <w:rPr>
                <w:sz w:val="20"/>
              </w:rPr>
              <w:t>Soc. Coop. Guardie ai Fuochi del Porto di Venezia</w:t>
            </w:r>
          </w:p>
        </w:tc>
        <w:tc>
          <w:tcPr>
            <w:tcW w:w="2551" w:type="dxa"/>
            <w:shd w:val="clear" w:color="auto" w:fill="D9D9D9" w:themeFill="background1" w:themeFillShade="D9"/>
            <w:vAlign w:val="center"/>
          </w:tcPr>
          <w:p w14:paraId="21FC92F3" w14:textId="77777777" w:rsidR="007961F3" w:rsidRPr="003C4B66" w:rsidRDefault="007961F3" w:rsidP="006F5F60">
            <w:pPr>
              <w:jc w:val="center"/>
              <w:rPr>
                <w:sz w:val="20"/>
              </w:rPr>
            </w:pPr>
            <w:r w:rsidRPr="003C4B66">
              <w:rPr>
                <w:sz w:val="20"/>
              </w:rPr>
              <w:t xml:space="preserve">1° aprile 2018 – </w:t>
            </w:r>
          </w:p>
          <w:p w14:paraId="719E48DE" w14:textId="77777777" w:rsidR="007961F3" w:rsidRPr="003C4B66" w:rsidRDefault="007961F3" w:rsidP="006F5F60">
            <w:pPr>
              <w:jc w:val="center"/>
              <w:rPr>
                <w:sz w:val="20"/>
              </w:rPr>
            </w:pPr>
            <w:r w:rsidRPr="003C4B66">
              <w:rPr>
                <w:sz w:val="20"/>
              </w:rPr>
              <w:t>31 marzo 2022</w:t>
            </w:r>
          </w:p>
        </w:tc>
      </w:tr>
      <w:tr w:rsidR="007961F3" w:rsidRPr="003C4B66" w14:paraId="5CBE8F40" w14:textId="77777777" w:rsidTr="00E120A7">
        <w:trPr>
          <w:trHeight w:val="1036"/>
        </w:trPr>
        <w:tc>
          <w:tcPr>
            <w:tcW w:w="992" w:type="dxa"/>
            <w:shd w:val="clear" w:color="auto" w:fill="D9D9D9" w:themeFill="background1" w:themeFillShade="D9"/>
            <w:vAlign w:val="center"/>
          </w:tcPr>
          <w:p w14:paraId="21ED1416" w14:textId="77777777" w:rsidR="007961F3" w:rsidRPr="003C4B66" w:rsidRDefault="007961F3" w:rsidP="006F5F60">
            <w:pPr>
              <w:jc w:val="center"/>
              <w:rPr>
                <w:b/>
                <w:bCs/>
                <w:szCs w:val="24"/>
              </w:rPr>
            </w:pPr>
            <w:r w:rsidRPr="003C4B66">
              <w:rPr>
                <w:b/>
                <w:bCs/>
                <w:szCs w:val="24"/>
              </w:rPr>
              <w:t>2</w:t>
            </w:r>
          </w:p>
        </w:tc>
        <w:tc>
          <w:tcPr>
            <w:tcW w:w="3237" w:type="dxa"/>
            <w:shd w:val="clear" w:color="auto" w:fill="D9D9D9" w:themeFill="background1" w:themeFillShade="D9"/>
            <w:vAlign w:val="center"/>
          </w:tcPr>
          <w:p w14:paraId="1F2843FF" w14:textId="77777777" w:rsidR="007961F3" w:rsidRPr="003C4B66" w:rsidRDefault="007961F3" w:rsidP="006F5F60">
            <w:pPr>
              <w:rPr>
                <w:bCs/>
                <w:i/>
                <w:sz w:val="20"/>
              </w:rPr>
            </w:pPr>
            <w:r w:rsidRPr="003C4B66">
              <w:rPr>
                <w:bCs/>
                <w:i/>
                <w:sz w:val="20"/>
              </w:rPr>
              <w:t>Concessione del servizio di raccolta, stoccaggio, pretrattamento e smaltimento dei rifiuti solidi, liquidi (liquami, acque di lavaggio e di sentina, nonché le acque nere) e dei residui del carico prodotti dalle navi ormeggiate nel porto di Venezia (D.lgs 182/2003 e D.M. 14 novembre 1994, emanato ai sensi del citato art. 6 della Legge 84/1994, che all’art. 1, lettera B))</w:t>
            </w:r>
          </w:p>
        </w:tc>
        <w:tc>
          <w:tcPr>
            <w:tcW w:w="2268" w:type="dxa"/>
            <w:shd w:val="clear" w:color="auto" w:fill="D9D9D9" w:themeFill="background1" w:themeFillShade="D9"/>
            <w:vAlign w:val="center"/>
          </w:tcPr>
          <w:p w14:paraId="66C5435C" w14:textId="77777777" w:rsidR="007961F3" w:rsidRPr="003C4B66" w:rsidRDefault="007961F3" w:rsidP="006F5F60">
            <w:pPr>
              <w:jc w:val="center"/>
              <w:rPr>
                <w:sz w:val="20"/>
              </w:rPr>
            </w:pPr>
            <w:r w:rsidRPr="003C4B66">
              <w:rPr>
                <w:sz w:val="20"/>
              </w:rPr>
              <w:t>A.T.I. costituita da Veritas Spa, Guardie ai Fuochi del Porto di Venezia Scpa, Conepo Servizi Scarl, Berengo Spa, C.M.E.V. Societa’ Cooperativa, Sacaim S.p.a.</w:t>
            </w:r>
          </w:p>
        </w:tc>
        <w:tc>
          <w:tcPr>
            <w:tcW w:w="2551" w:type="dxa"/>
            <w:shd w:val="clear" w:color="auto" w:fill="D9D9D9" w:themeFill="background1" w:themeFillShade="D9"/>
            <w:vAlign w:val="center"/>
          </w:tcPr>
          <w:p w14:paraId="38B60354" w14:textId="77777777" w:rsidR="007961F3" w:rsidRPr="003C4B66" w:rsidRDefault="007961F3" w:rsidP="006F5F60">
            <w:pPr>
              <w:jc w:val="center"/>
              <w:rPr>
                <w:sz w:val="20"/>
              </w:rPr>
            </w:pPr>
            <w:r w:rsidRPr="003C4B66">
              <w:rPr>
                <w:sz w:val="20"/>
              </w:rPr>
              <w:t xml:space="preserve">1° giugno 2010 – </w:t>
            </w:r>
          </w:p>
          <w:p w14:paraId="39AA7E5D" w14:textId="77777777" w:rsidR="007961F3" w:rsidRPr="003C4B66" w:rsidRDefault="007961F3" w:rsidP="006F5F60">
            <w:pPr>
              <w:jc w:val="center"/>
              <w:rPr>
                <w:sz w:val="20"/>
              </w:rPr>
            </w:pPr>
            <w:r w:rsidRPr="003C4B66">
              <w:rPr>
                <w:sz w:val="20"/>
              </w:rPr>
              <w:t>31 maggio 2030</w:t>
            </w:r>
          </w:p>
        </w:tc>
      </w:tr>
      <w:tr w:rsidR="007961F3" w:rsidRPr="003C4B66" w14:paraId="0003FD79" w14:textId="77777777" w:rsidTr="00E120A7">
        <w:trPr>
          <w:trHeight w:val="2249"/>
        </w:trPr>
        <w:tc>
          <w:tcPr>
            <w:tcW w:w="992" w:type="dxa"/>
            <w:shd w:val="clear" w:color="auto" w:fill="D9D9D9" w:themeFill="background1" w:themeFillShade="D9"/>
            <w:vAlign w:val="center"/>
          </w:tcPr>
          <w:p w14:paraId="158A5F72" w14:textId="77777777" w:rsidR="007961F3" w:rsidRPr="003C4B66" w:rsidRDefault="007961F3" w:rsidP="006F5F60">
            <w:pPr>
              <w:jc w:val="center"/>
              <w:rPr>
                <w:b/>
                <w:bCs/>
                <w:szCs w:val="24"/>
              </w:rPr>
            </w:pPr>
            <w:r w:rsidRPr="003C4B66">
              <w:rPr>
                <w:b/>
                <w:bCs/>
                <w:szCs w:val="24"/>
              </w:rPr>
              <w:t>3</w:t>
            </w:r>
          </w:p>
        </w:tc>
        <w:tc>
          <w:tcPr>
            <w:tcW w:w="3237" w:type="dxa"/>
            <w:shd w:val="clear" w:color="auto" w:fill="D9D9D9" w:themeFill="background1" w:themeFillShade="D9"/>
            <w:vAlign w:val="center"/>
          </w:tcPr>
          <w:p w14:paraId="787C600B" w14:textId="77777777" w:rsidR="007961F3" w:rsidRPr="003C4B66" w:rsidRDefault="007961F3" w:rsidP="006F5F60">
            <w:pPr>
              <w:rPr>
                <w:bCs/>
                <w:i/>
                <w:sz w:val="20"/>
              </w:rPr>
            </w:pPr>
            <w:r w:rsidRPr="003C4B66">
              <w:rPr>
                <w:bCs/>
                <w:i/>
                <w:sz w:val="20"/>
              </w:rPr>
              <w:t xml:space="preserve">Contratto di concessione di servizio integrato di fornitura dei servizi di cui agli artt. 208 e 209 del D.lgs 163/2006 di conduzione e manutenzione ordinaria e straordinaria degli impianti tecnologici e delle reti di distribuzione presso il Porto di Venezia ai sensi dell’art. 6, c.1 della Legge 84/1994. </w:t>
            </w:r>
          </w:p>
        </w:tc>
        <w:tc>
          <w:tcPr>
            <w:tcW w:w="2268" w:type="dxa"/>
            <w:shd w:val="clear" w:color="auto" w:fill="D9D9D9" w:themeFill="background1" w:themeFillShade="D9"/>
            <w:vAlign w:val="center"/>
          </w:tcPr>
          <w:p w14:paraId="567D78B6" w14:textId="77777777" w:rsidR="007961F3" w:rsidRPr="003C4B66" w:rsidRDefault="007961F3" w:rsidP="006F5F60">
            <w:pPr>
              <w:jc w:val="center"/>
              <w:rPr>
                <w:sz w:val="20"/>
              </w:rPr>
            </w:pPr>
            <w:r w:rsidRPr="003C4B66">
              <w:rPr>
                <w:sz w:val="20"/>
              </w:rPr>
              <w:t>Veritas S.p.a.</w:t>
            </w:r>
          </w:p>
        </w:tc>
        <w:tc>
          <w:tcPr>
            <w:tcW w:w="2551" w:type="dxa"/>
            <w:shd w:val="clear" w:color="auto" w:fill="D9D9D9" w:themeFill="background1" w:themeFillShade="D9"/>
            <w:vAlign w:val="center"/>
          </w:tcPr>
          <w:p w14:paraId="268CBB8E" w14:textId="77777777" w:rsidR="007961F3" w:rsidRPr="003C4B66" w:rsidRDefault="007961F3" w:rsidP="006F5F60">
            <w:pPr>
              <w:jc w:val="center"/>
              <w:rPr>
                <w:sz w:val="20"/>
              </w:rPr>
            </w:pPr>
            <w:r>
              <w:rPr>
                <w:sz w:val="20"/>
              </w:rPr>
              <w:t xml:space="preserve"> </w:t>
            </w:r>
            <w:r w:rsidRPr="00105EC3">
              <w:rPr>
                <w:sz w:val="20"/>
              </w:rPr>
              <w:t>Scadenza 31/12/202</w:t>
            </w:r>
            <w:r>
              <w:rPr>
                <w:sz w:val="20"/>
              </w:rPr>
              <w:t>2</w:t>
            </w:r>
          </w:p>
        </w:tc>
      </w:tr>
      <w:tr w:rsidR="007961F3" w:rsidRPr="003C4B66" w14:paraId="5DEDC2AD" w14:textId="77777777" w:rsidTr="00E120A7">
        <w:trPr>
          <w:trHeight w:val="1260"/>
        </w:trPr>
        <w:tc>
          <w:tcPr>
            <w:tcW w:w="992" w:type="dxa"/>
            <w:shd w:val="clear" w:color="auto" w:fill="D9D9D9" w:themeFill="background1" w:themeFillShade="D9"/>
            <w:vAlign w:val="center"/>
          </w:tcPr>
          <w:p w14:paraId="341FB7FD" w14:textId="77777777" w:rsidR="007961F3" w:rsidRPr="003C4B66" w:rsidRDefault="007961F3" w:rsidP="006F5F60">
            <w:pPr>
              <w:jc w:val="center"/>
              <w:rPr>
                <w:b/>
                <w:bCs/>
                <w:szCs w:val="24"/>
              </w:rPr>
            </w:pPr>
            <w:r w:rsidRPr="003C4B66">
              <w:rPr>
                <w:b/>
                <w:bCs/>
                <w:szCs w:val="24"/>
              </w:rPr>
              <w:t>4</w:t>
            </w:r>
          </w:p>
        </w:tc>
        <w:tc>
          <w:tcPr>
            <w:tcW w:w="3237" w:type="dxa"/>
            <w:shd w:val="clear" w:color="auto" w:fill="D9D9D9" w:themeFill="background1" w:themeFillShade="D9"/>
            <w:vAlign w:val="center"/>
          </w:tcPr>
          <w:p w14:paraId="3FE2451F" w14:textId="77777777" w:rsidR="007961F3" w:rsidRPr="003C4B66" w:rsidRDefault="007961F3" w:rsidP="006F5F60">
            <w:pPr>
              <w:rPr>
                <w:bCs/>
                <w:i/>
                <w:sz w:val="20"/>
              </w:rPr>
            </w:pPr>
            <w:r w:rsidRPr="003C4B66">
              <w:rPr>
                <w:bCs/>
                <w:i/>
                <w:sz w:val="20"/>
              </w:rPr>
              <w:t>Stazioni marittime passeggeri.</w:t>
            </w:r>
          </w:p>
          <w:p w14:paraId="66828040" w14:textId="77777777" w:rsidR="007961F3" w:rsidRPr="003C4B66" w:rsidRDefault="007961F3" w:rsidP="006F5F60">
            <w:pPr>
              <w:rPr>
                <w:bCs/>
                <w:i/>
                <w:sz w:val="20"/>
              </w:rPr>
            </w:pPr>
            <w:r w:rsidRPr="003C4B66">
              <w:rPr>
                <w:bCs/>
                <w:i/>
                <w:sz w:val="20"/>
              </w:rPr>
              <w:t>Gestione dei sevizi finalizzati all’attività di sbarco/imbarco passeggeri ed attività connesse</w:t>
            </w:r>
          </w:p>
        </w:tc>
        <w:tc>
          <w:tcPr>
            <w:tcW w:w="2268" w:type="dxa"/>
            <w:shd w:val="clear" w:color="auto" w:fill="D9D9D9" w:themeFill="background1" w:themeFillShade="D9"/>
            <w:vAlign w:val="center"/>
          </w:tcPr>
          <w:p w14:paraId="377F126F" w14:textId="77777777" w:rsidR="007961F3" w:rsidRPr="003C4B66" w:rsidRDefault="007961F3" w:rsidP="006F5F60">
            <w:pPr>
              <w:jc w:val="center"/>
              <w:rPr>
                <w:sz w:val="20"/>
              </w:rPr>
            </w:pPr>
            <w:r w:rsidRPr="003C4B66">
              <w:rPr>
                <w:sz w:val="20"/>
              </w:rPr>
              <w:t>Venezia Terminal Passeggeri s.p.a.</w:t>
            </w:r>
          </w:p>
          <w:p w14:paraId="20F2F77B" w14:textId="77777777" w:rsidR="007961F3" w:rsidRPr="003C4B66" w:rsidRDefault="007961F3" w:rsidP="006F5F60">
            <w:pPr>
              <w:jc w:val="center"/>
              <w:rPr>
                <w:strike/>
                <w:sz w:val="20"/>
              </w:rPr>
            </w:pPr>
          </w:p>
        </w:tc>
        <w:tc>
          <w:tcPr>
            <w:tcW w:w="2551" w:type="dxa"/>
            <w:shd w:val="clear" w:color="auto" w:fill="D9D9D9" w:themeFill="background1" w:themeFillShade="D9"/>
            <w:vAlign w:val="center"/>
          </w:tcPr>
          <w:p w14:paraId="240CE448" w14:textId="77777777" w:rsidR="007961F3" w:rsidRPr="003C4B66" w:rsidRDefault="007961F3" w:rsidP="006F5F60">
            <w:pPr>
              <w:jc w:val="center"/>
              <w:rPr>
                <w:sz w:val="20"/>
              </w:rPr>
            </w:pPr>
            <w:r w:rsidRPr="003C4B66">
              <w:rPr>
                <w:sz w:val="20"/>
              </w:rPr>
              <w:t xml:space="preserve">Concessione con scadenza </w:t>
            </w:r>
          </w:p>
          <w:p w14:paraId="1D9E5348" w14:textId="77777777" w:rsidR="007961F3" w:rsidRPr="003C4B66" w:rsidRDefault="007961F3" w:rsidP="006F5F60">
            <w:pPr>
              <w:jc w:val="center"/>
              <w:rPr>
                <w:sz w:val="20"/>
              </w:rPr>
            </w:pPr>
            <w:r w:rsidRPr="003C4B66">
              <w:rPr>
                <w:sz w:val="20"/>
              </w:rPr>
              <w:t>31/05/2024</w:t>
            </w:r>
          </w:p>
        </w:tc>
      </w:tr>
      <w:tr w:rsidR="007961F3" w:rsidRPr="003C4B66" w14:paraId="5976BA00" w14:textId="77777777" w:rsidTr="00E120A7">
        <w:trPr>
          <w:trHeight w:val="1036"/>
        </w:trPr>
        <w:tc>
          <w:tcPr>
            <w:tcW w:w="992" w:type="dxa"/>
            <w:shd w:val="clear" w:color="auto" w:fill="D9D9D9" w:themeFill="background1" w:themeFillShade="D9"/>
            <w:vAlign w:val="center"/>
          </w:tcPr>
          <w:p w14:paraId="055258AB" w14:textId="77777777" w:rsidR="007961F3" w:rsidRPr="003C4B66" w:rsidRDefault="007961F3" w:rsidP="006F5F60">
            <w:pPr>
              <w:jc w:val="center"/>
              <w:rPr>
                <w:b/>
                <w:bCs/>
                <w:szCs w:val="24"/>
              </w:rPr>
            </w:pPr>
            <w:r w:rsidRPr="003C4B66">
              <w:rPr>
                <w:b/>
                <w:bCs/>
                <w:szCs w:val="24"/>
              </w:rPr>
              <w:lastRenderedPageBreak/>
              <w:t>5</w:t>
            </w:r>
          </w:p>
        </w:tc>
        <w:tc>
          <w:tcPr>
            <w:tcW w:w="3237" w:type="dxa"/>
            <w:shd w:val="clear" w:color="auto" w:fill="D9D9D9" w:themeFill="background1" w:themeFillShade="D9"/>
            <w:vAlign w:val="center"/>
          </w:tcPr>
          <w:p w14:paraId="4320483A" w14:textId="77777777" w:rsidR="007961F3" w:rsidRPr="003C4B66" w:rsidRDefault="007961F3" w:rsidP="006F5F60">
            <w:pPr>
              <w:rPr>
                <w:bCs/>
                <w:i/>
                <w:sz w:val="20"/>
              </w:rPr>
            </w:pPr>
            <w:r w:rsidRPr="003C4B66">
              <w:rPr>
                <w:bCs/>
                <w:i/>
                <w:sz w:val="20"/>
              </w:rPr>
              <w:t>Servizio Ferroviario</w:t>
            </w:r>
          </w:p>
        </w:tc>
        <w:tc>
          <w:tcPr>
            <w:tcW w:w="2268" w:type="dxa"/>
            <w:shd w:val="clear" w:color="auto" w:fill="D9D9D9" w:themeFill="background1" w:themeFillShade="D9"/>
            <w:vAlign w:val="center"/>
          </w:tcPr>
          <w:p w14:paraId="487FA413" w14:textId="77777777" w:rsidR="007961F3" w:rsidRPr="003C4B66" w:rsidRDefault="007961F3" w:rsidP="006F5F60">
            <w:pPr>
              <w:jc w:val="center"/>
              <w:rPr>
                <w:sz w:val="20"/>
              </w:rPr>
            </w:pPr>
            <w:r w:rsidRPr="003C4B66">
              <w:rPr>
                <w:sz w:val="20"/>
              </w:rPr>
              <w:t>Esercizio Raccordi Ferroviari S.p.A.</w:t>
            </w:r>
            <w:r w:rsidRPr="003C4B66">
              <w:rPr>
                <w:sz w:val="20"/>
                <w:vertAlign w:val="superscript"/>
              </w:rPr>
              <w:footnoteReference w:id="1"/>
            </w:r>
          </w:p>
          <w:p w14:paraId="63C63FEC" w14:textId="77777777" w:rsidR="007961F3" w:rsidRPr="003C4B66" w:rsidRDefault="007961F3" w:rsidP="006F5F60">
            <w:pPr>
              <w:jc w:val="center"/>
              <w:rPr>
                <w:strike/>
                <w:sz w:val="20"/>
              </w:rPr>
            </w:pPr>
          </w:p>
        </w:tc>
        <w:tc>
          <w:tcPr>
            <w:tcW w:w="2551" w:type="dxa"/>
            <w:shd w:val="clear" w:color="auto" w:fill="D9D9D9" w:themeFill="background1" w:themeFillShade="D9"/>
            <w:vAlign w:val="center"/>
          </w:tcPr>
          <w:p w14:paraId="478F2477" w14:textId="77777777" w:rsidR="007961F3" w:rsidRPr="003C4B66" w:rsidRDefault="007961F3" w:rsidP="006F5F60">
            <w:pPr>
              <w:jc w:val="center"/>
              <w:rPr>
                <w:sz w:val="20"/>
              </w:rPr>
            </w:pPr>
            <w:r w:rsidRPr="003C4B66">
              <w:rPr>
                <w:sz w:val="20"/>
              </w:rPr>
              <w:t>Concessione con scadenza nel 2023 (scadenza della concessione demaniale e comunale 2023)</w:t>
            </w:r>
          </w:p>
        </w:tc>
      </w:tr>
      <w:tr w:rsidR="007961F3" w:rsidRPr="003C4B66" w14:paraId="6A7BA221" w14:textId="77777777" w:rsidTr="00E120A7">
        <w:trPr>
          <w:trHeight w:val="1036"/>
        </w:trPr>
        <w:tc>
          <w:tcPr>
            <w:tcW w:w="992" w:type="dxa"/>
            <w:shd w:val="clear" w:color="auto" w:fill="BFBFBF" w:themeFill="background1" w:themeFillShade="BF"/>
            <w:vAlign w:val="center"/>
          </w:tcPr>
          <w:p w14:paraId="3ACA8ADC" w14:textId="77777777" w:rsidR="007961F3" w:rsidRPr="003C4B66" w:rsidRDefault="007961F3" w:rsidP="006F5F60">
            <w:pPr>
              <w:jc w:val="center"/>
              <w:rPr>
                <w:b/>
                <w:bCs/>
                <w:szCs w:val="24"/>
              </w:rPr>
            </w:pPr>
            <w:r w:rsidRPr="003C4B66">
              <w:rPr>
                <w:b/>
                <w:bCs/>
                <w:szCs w:val="24"/>
              </w:rPr>
              <w:t>6</w:t>
            </w:r>
          </w:p>
        </w:tc>
        <w:tc>
          <w:tcPr>
            <w:tcW w:w="3237" w:type="dxa"/>
            <w:shd w:val="clear" w:color="auto" w:fill="BFBFBF" w:themeFill="background1" w:themeFillShade="BF"/>
            <w:vAlign w:val="center"/>
          </w:tcPr>
          <w:p w14:paraId="073DF33D" w14:textId="77777777" w:rsidR="007961F3" w:rsidRPr="003C4B66" w:rsidRDefault="007961F3" w:rsidP="006F5F60">
            <w:pPr>
              <w:rPr>
                <w:bCs/>
                <w:i/>
                <w:sz w:val="20"/>
              </w:rPr>
            </w:pPr>
            <w:r w:rsidRPr="003C4B66">
              <w:rPr>
                <w:bCs/>
                <w:i/>
                <w:sz w:val="20"/>
              </w:rPr>
              <w:t xml:space="preserve">Servizi informatici e telematici </w:t>
            </w:r>
          </w:p>
        </w:tc>
        <w:tc>
          <w:tcPr>
            <w:tcW w:w="2268" w:type="dxa"/>
            <w:shd w:val="clear" w:color="auto" w:fill="BFBFBF" w:themeFill="background1" w:themeFillShade="BF"/>
            <w:vAlign w:val="center"/>
          </w:tcPr>
          <w:p w14:paraId="6EA9326A" w14:textId="77777777" w:rsidR="007961F3" w:rsidRPr="003C4B66" w:rsidRDefault="007961F3" w:rsidP="006F5F60">
            <w:pPr>
              <w:jc w:val="center"/>
              <w:rPr>
                <w:sz w:val="20"/>
              </w:rPr>
            </w:pPr>
            <w:r w:rsidRPr="003C4B66">
              <w:rPr>
                <w:sz w:val="20"/>
              </w:rPr>
              <w:t>APV Investimenti S.p.A.</w:t>
            </w:r>
            <w:r w:rsidRPr="003C4B66">
              <w:rPr>
                <w:sz w:val="20"/>
                <w:vertAlign w:val="superscript"/>
              </w:rPr>
              <w:footnoteReference w:id="2"/>
            </w:r>
          </w:p>
          <w:p w14:paraId="6C0002BE" w14:textId="77777777" w:rsidR="007961F3" w:rsidRPr="003C4B66" w:rsidRDefault="007961F3" w:rsidP="006F5F60">
            <w:pPr>
              <w:jc w:val="center"/>
              <w:rPr>
                <w:strike/>
                <w:sz w:val="20"/>
              </w:rPr>
            </w:pPr>
          </w:p>
        </w:tc>
        <w:tc>
          <w:tcPr>
            <w:tcW w:w="2551" w:type="dxa"/>
            <w:shd w:val="clear" w:color="auto" w:fill="BFBFBF" w:themeFill="background1" w:themeFillShade="BF"/>
            <w:vAlign w:val="center"/>
          </w:tcPr>
          <w:p w14:paraId="57762523" w14:textId="77777777" w:rsidR="007961F3" w:rsidRPr="003C4B66" w:rsidRDefault="007961F3" w:rsidP="006F5F60">
            <w:pPr>
              <w:jc w:val="center"/>
              <w:rPr>
                <w:color w:val="FF0000"/>
                <w:sz w:val="20"/>
              </w:rPr>
            </w:pPr>
            <w:r w:rsidRPr="00105EC3">
              <w:rPr>
                <w:sz w:val="20"/>
              </w:rPr>
              <w:t>Scadenza 31/12/2021</w:t>
            </w:r>
          </w:p>
        </w:tc>
      </w:tr>
    </w:tbl>
    <w:p w14:paraId="24A68747" w14:textId="3D6D6762" w:rsidR="00E0618C" w:rsidRDefault="007D364F" w:rsidP="00782261">
      <w:pPr>
        <w:jc w:val="both"/>
      </w:pPr>
      <w:r>
        <w:rPr>
          <w:noProof/>
          <w:lang w:eastAsia="it-IT"/>
        </w:rPr>
        <mc:AlternateContent>
          <mc:Choice Requires="wps">
            <w:drawing>
              <wp:anchor distT="0" distB="0" distL="114300" distR="114300" simplePos="0" relativeHeight="251694080" behindDoc="0" locked="0" layoutInCell="1" allowOverlap="1" wp14:anchorId="29240201" wp14:editId="6EFA9E62">
                <wp:simplePos x="0" y="0"/>
                <wp:positionH relativeFrom="margin">
                  <wp:posOffset>83313</wp:posOffset>
                </wp:positionH>
                <wp:positionV relativeFrom="paragraph">
                  <wp:posOffset>-675</wp:posOffset>
                </wp:positionV>
                <wp:extent cx="5745392" cy="253365"/>
                <wp:effectExtent l="0" t="0" r="27305" b="13335"/>
                <wp:wrapNone/>
                <wp:docPr id="24" name="Casella di testo 24"/>
                <wp:cNvGraphicFramePr/>
                <a:graphic xmlns:a="http://schemas.openxmlformats.org/drawingml/2006/main">
                  <a:graphicData uri="http://schemas.microsoft.com/office/word/2010/wordprocessingShape">
                    <wps:wsp>
                      <wps:cNvSpPr txBox="1"/>
                      <wps:spPr>
                        <a:xfrm>
                          <a:off x="0" y="0"/>
                          <a:ext cx="5745392" cy="25336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28CCAA2" w14:textId="4FBD182E" w:rsidR="007D364F" w:rsidRPr="00A549AF" w:rsidRDefault="007D364F" w:rsidP="007D364F">
                            <w:pPr>
                              <w:rPr>
                                <w:sz w:val="16"/>
                                <w:szCs w:val="16"/>
                              </w:rPr>
                            </w:pPr>
                            <w:r>
                              <w:rPr>
                                <w:sz w:val="16"/>
                                <w:szCs w:val="16"/>
                              </w:rPr>
                              <w:t>Tab. 1</w:t>
                            </w:r>
                            <w:r w:rsidR="00B51AFE">
                              <w:rPr>
                                <w:sz w:val="16"/>
                                <w:szCs w:val="16"/>
                              </w:rPr>
                              <w:t>3</w:t>
                            </w:r>
                            <w:r>
                              <w:rPr>
                                <w:sz w:val="16"/>
                                <w:szCs w:val="16"/>
                              </w:rPr>
                              <w:t xml:space="preserve">: elenco </w:t>
                            </w:r>
                            <w:r w:rsidRPr="007D364F">
                              <w:rPr>
                                <w:sz w:val="16"/>
                                <w:szCs w:val="16"/>
                              </w:rPr>
                              <w:t>servizi di interesse generale</w:t>
                            </w:r>
                            <w:r>
                              <w:rPr>
                                <w:sz w:val="16"/>
                                <w:szCs w:val="16"/>
                              </w:rPr>
                              <w:t xml:space="preserve"> affidati da AdSP MAS nel 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29240201" id="Casella di testo 24" o:spid="_x0000_s1037" type="#_x0000_t202" style="position:absolute;left:0;text-align:left;margin-left:6.55pt;margin-top:-.05pt;width:452.4pt;height:19.95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" fillcolor="white [3201]" strokeweight=".5pt">
                <v:textbox>
                  <w:txbxContent>
                    <w:p w14:paraId="228CCAA2" w14:textId="4FBD182E" w:rsidR="007D364F" w:rsidRPr="00A549AF" w:rsidRDefault="007D364F" w:rsidP="007D364F">
                      <w:pPr>
                        <w:rPr>
                          <w:sz w:val="16"/>
                          <w:szCs w:val="16"/>
                        </w:rPr>
                      </w:pPr>
                      <w:r>
                        <w:rPr>
                          <w:sz w:val="16"/>
                          <w:szCs w:val="16"/>
                        </w:rPr>
                        <w:t>Tab. 1</w:t>
                      </w:r>
                      <w:r w:rsidR="00B51AFE">
                        <w:rPr>
                          <w:sz w:val="16"/>
                          <w:szCs w:val="16"/>
                        </w:rPr>
                        <w:t>3</w:t>
                      </w:r>
                      <w:r>
                        <w:rPr>
                          <w:sz w:val="16"/>
                          <w:szCs w:val="16"/>
                        </w:rPr>
                        <w:t xml:space="preserve">: elenco </w:t>
                      </w:r>
                      <w:r w:rsidRPr="007D364F">
                        <w:rPr>
                          <w:sz w:val="16"/>
                          <w:szCs w:val="16"/>
                        </w:rPr>
                        <w:t>servizi di interesse generale</w:t>
                      </w:r>
                      <w:r>
                        <w:rPr>
                          <w:sz w:val="16"/>
                          <w:szCs w:val="16"/>
                        </w:rPr>
                        <w:t xml:space="preserve"> affidati da AdSP MAS nel 2021</w:t>
                      </w:r>
                    </w:p>
                  </w:txbxContent>
                </v:textbox>
                <w10:wrap anchorx="margin"/>
              </v:shape>
            </w:pict>
          </mc:Fallback>
        </mc:AlternateContent>
      </w:r>
    </w:p>
    <w:p w14:paraId="5F1412A1" w14:textId="201B8561" w:rsidR="00E0618C" w:rsidRDefault="00E0618C" w:rsidP="00782261">
      <w:pPr>
        <w:jc w:val="both"/>
      </w:pPr>
    </w:p>
    <w:p w14:paraId="5AD89A60" w14:textId="77777777" w:rsidR="00E0618C" w:rsidRDefault="00E0618C" w:rsidP="00782261">
      <w:pPr>
        <w:jc w:val="both"/>
      </w:pPr>
    </w:p>
    <w:p w14:paraId="4078E36D" w14:textId="75C0809B" w:rsidR="003727E9" w:rsidRDefault="003727E9" w:rsidP="00782261">
      <w:pPr>
        <w:jc w:val="both"/>
      </w:pPr>
    </w:p>
    <w:p w14:paraId="7512A47B" w14:textId="673CEB5B" w:rsidR="00ED33C8" w:rsidRDefault="00ED33C8" w:rsidP="00782261">
      <w:pPr>
        <w:jc w:val="both"/>
      </w:pPr>
    </w:p>
    <w:p w14:paraId="271DF8D2" w14:textId="43DF664F" w:rsidR="00ED33C8" w:rsidRDefault="00ED33C8" w:rsidP="00782261">
      <w:pPr>
        <w:jc w:val="both"/>
      </w:pPr>
    </w:p>
    <w:p w14:paraId="6C64AC41" w14:textId="6D31255C" w:rsidR="00ED33C8" w:rsidRDefault="00ED33C8" w:rsidP="00782261">
      <w:pPr>
        <w:jc w:val="both"/>
      </w:pPr>
    </w:p>
    <w:p w14:paraId="11731C0E" w14:textId="080812A4" w:rsidR="00ED33C8" w:rsidRDefault="00ED33C8" w:rsidP="00782261">
      <w:pPr>
        <w:jc w:val="both"/>
      </w:pPr>
    </w:p>
    <w:p w14:paraId="3E92286E" w14:textId="77777777" w:rsidR="00ED33C8" w:rsidRDefault="00ED33C8" w:rsidP="00782261">
      <w:pPr>
        <w:jc w:val="both"/>
      </w:pPr>
    </w:p>
    <w:p w14:paraId="2FDE9DE2" w14:textId="77777777" w:rsidR="007961F3" w:rsidRDefault="007961F3" w:rsidP="00782261">
      <w:pPr>
        <w:jc w:val="both"/>
      </w:pPr>
    </w:p>
    <w:p w14:paraId="06D9755A" w14:textId="5F77B8D0" w:rsidR="003727E9" w:rsidRDefault="003727E9" w:rsidP="00782261">
      <w:pPr>
        <w:jc w:val="both"/>
      </w:pPr>
    </w:p>
    <w:p w14:paraId="0EF9E978" w14:textId="77777777" w:rsidR="003727E9" w:rsidRDefault="003727E9" w:rsidP="00782261">
      <w:pPr>
        <w:jc w:val="both"/>
      </w:pPr>
    </w:p>
    <w:p w14:paraId="27E04820" w14:textId="623BCB24" w:rsidR="00440A5B" w:rsidRDefault="00440A5B" w:rsidP="00782261">
      <w:pPr>
        <w:jc w:val="both"/>
      </w:pPr>
    </w:p>
    <w:p w14:paraId="2AED03EA" w14:textId="4F7B4022" w:rsidR="00440A5B" w:rsidRDefault="00440A5B" w:rsidP="00782261">
      <w:pPr>
        <w:jc w:val="both"/>
      </w:pPr>
    </w:p>
    <w:p w14:paraId="4658497E" w14:textId="44084B41" w:rsidR="003727E9" w:rsidRDefault="003727E9" w:rsidP="00782261">
      <w:pPr>
        <w:jc w:val="both"/>
      </w:pPr>
    </w:p>
    <w:p w14:paraId="0D3BC659" w14:textId="4934ED9E" w:rsidR="003727E9" w:rsidRDefault="003727E9" w:rsidP="00782261">
      <w:pPr>
        <w:jc w:val="both"/>
      </w:pPr>
    </w:p>
    <w:p w14:paraId="0E8CA376" w14:textId="4467B045" w:rsidR="003727E9" w:rsidRDefault="003727E9" w:rsidP="00782261">
      <w:pPr>
        <w:jc w:val="both"/>
      </w:pPr>
    </w:p>
    <w:p w14:paraId="58E22F11" w14:textId="78347D82" w:rsidR="003727E9" w:rsidRDefault="003727E9" w:rsidP="00782261">
      <w:pPr>
        <w:jc w:val="both"/>
      </w:pPr>
    </w:p>
    <w:p w14:paraId="10BFD85E" w14:textId="2ADC569B" w:rsidR="003727E9" w:rsidRDefault="003727E9" w:rsidP="00782261">
      <w:pPr>
        <w:jc w:val="both"/>
      </w:pPr>
    </w:p>
    <w:p w14:paraId="61F34495" w14:textId="4C9B04E2" w:rsidR="003727E9" w:rsidRDefault="003727E9" w:rsidP="00782261">
      <w:pPr>
        <w:jc w:val="both"/>
      </w:pPr>
    </w:p>
    <w:p w14:paraId="72173C7F" w14:textId="0078D1A5" w:rsidR="003727E9" w:rsidRDefault="003727E9" w:rsidP="00782261">
      <w:pPr>
        <w:jc w:val="both"/>
      </w:pPr>
    </w:p>
    <w:p w14:paraId="360F6402" w14:textId="7511AA82" w:rsidR="003727E9" w:rsidRDefault="003727E9" w:rsidP="00782261">
      <w:pPr>
        <w:jc w:val="both"/>
      </w:pPr>
    </w:p>
    <w:p w14:paraId="41C72D05" w14:textId="1116F2F5" w:rsidR="008A60BA" w:rsidRDefault="008A60BA" w:rsidP="00782261">
      <w:pPr>
        <w:jc w:val="both"/>
      </w:pPr>
    </w:p>
    <w:p w14:paraId="1E4A4180" w14:textId="750A0295" w:rsidR="0041384F" w:rsidRPr="00F8380B" w:rsidRDefault="0041384F" w:rsidP="002D4276">
      <w:pPr>
        <w:pStyle w:val="Titolo1"/>
        <w:numPr>
          <w:ilvl w:val="0"/>
          <w:numId w:val="9"/>
        </w:numPr>
        <w:rPr>
          <w:b/>
          <w:bCs/>
        </w:rPr>
      </w:pPr>
      <w:bookmarkStart w:id="21" w:name="_Toc103881188"/>
      <w:r w:rsidRPr="00F8380B">
        <w:rPr>
          <w:b/>
          <w:bCs/>
        </w:rPr>
        <w:lastRenderedPageBreak/>
        <w:t>Manutenzione ordinaria/straordinaria e interventi infrastrutturali – Opere di grande infrastrutturazione</w:t>
      </w:r>
      <w:bookmarkEnd w:id="21"/>
    </w:p>
    <w:p w14:paraId="4D3FEE6B" w14:textId="07448F8F" w:rsidR="0041384F" w:rsidRPr="00F8380B" w:rsidRDefault="0041384F" w:rsidP="002D4276">
      <w:pPr>
        <w:pStyle w:val="Titolo2"/>
        <w:numPr>
          <w:ilvl w:val="1"/>
          <w:numId w:val="9"/>
        </w:numPr>
        <w:rPr>
          <w:u w:val="single"/>
        </w:rPr>
      </w:pPr>
      <w:bookmarkStart w:id="22" w:name="_Toc103881189"/>
      <w:r w:rsidRPr="00F8380B">
        <w:rPr>
          <w:u w:val="single"/>
        </w:rPr>
        <w:t>Compilazione dell’unita scheda relativa agli Interventi ricompresi nell’elenco annuale 2020 del programma triennale delle opere pubbliche dell’Ente: Stato di attuazione degli interventi programmati per il 2021, alla data del 31/12/2021.</w:t>
      </w:r>
      <w:bookmarkEnd w:id="22"/>
    </w:p>
    <w:p w14:paraId="28AA660D" w14:textId="2C24F99C" w:rsidR="0041384F" w:rsidRDefault="0041384F" w:rsidP="0041384F">
      <w:pPr>
        <w:jc w:val="both"/>
      </w:pPr>
      <w:r>
        <w:t>Vedasi scheda allegata</w:t>
      </w:r>
    </w:p>
    <w:p w14:paraId="2C19B8C5" w14:textId="27BB707E" w:rsidR="0041384F" w:rsidRPr="00F8380B" w:rsidRDefault="0041384F" w:rsidP="002D4276">
      <w:pPr>
        <w:pStyle w:val="Titolo2"/>
        <w:numPr>
          <w:ilvl w:val="1"/>
          <w:numId w:val="9"/>
        </w:numPr>
        <w:rPr>
          <w:u w:val="single"/>
        </w:rPr>
      </w:pPr>
      <w:bookmarkStart w:id="23" w:name="_Toc103881190"/>
      <w:r w:rsidRPr="00F8380B">
        <w:rPr>
          <w:u w:val="single"/>
        </w:rPr>
        <w:t>Compilazione dell’unita scheda relativa alle Opere di grande infrastrutturazione: Elenco e stato di avanzamento delle opere avviate, costi di realizzazione con indicazione della relativa fonte.</w:t>
      </w:r>
      <w:bookmarkEnd w:id="23"/>
    </w:p>
    <w:p w14:paraId="339F258F" w14:textId="6186658D" w:rsidR="003727E9" w:rsidRDefault="0041384F" w:rsidP="0041384F">
      <w:pPr>
        <w:jc w:val="both"/>
      </w:pPr>
      <w:r>
        <w:t>Vedasi scheda allegata</w:t>
      </w:r>
    </w:p>
    <w:p w14:paraId="2AE197EC" w14:textId="77777777" w:rsidR="003727E9" w:rsidRDefault="003727E9" w:rsidP="00782261">
      <w:pPr>
        <w:jc w:val="both"/>
      </w:pPr>
    </w:p>
    <w:p w14:paraId="00B480A5" w14:textId="335A572A" w:rsidR="00440A5B" w:rsidRDefault="00440A5B" w:rsidP="00782261">
      <w:pPr>
        <w:jc w:val="both"/>
      </w:pPr>
    </w:p>
    <w:p w14:paraId="2BCEA9B2" w14:textId="3250D76C" w:rsidR="0041384F" w:rsidRDefault="0041384F" w:rsidP="00782261">
      <w:pPr>
        <w:jc w:val="both"/>
      </w:pPr>
    </w:p>
    <w:p w14:paraId="62652831" w14:textId="5DC3D776" w:rsidR="0041384F" w:rsidRDefault="0041384F" w:rsidP="00782261">
      <w:pPr>
        <w:jc w:val="both"/>
      </w:pPr>
    </w:p>
    <w:p w14:paraId="3D2DA6C7" w14:textId="1B640320" w:rsidR="0041384F" w:rsidRDefault="0041384F" w:rsidP="00782261">
      <w:pPr>
        <w:jc w:val="both"/>
      </w:pPr>
    </w:p>
    <w:p w14:paraId="66D8AC81" w14:textId="215EAE73" w:rsidR="0041384F" w:rsidRDefault="0041384F" w:rsidP="00782261">
      <w:pPr>
        <w:jc w:val="both"/>
      </w:pPr>
    </w:p>
    <w:p w14:paraId="48574699" w14:textId="573C26BC" w:rsidR="0041384F" w:rsidRDefault="0041384F" w:rsidP="00782261">
      <w:pPr>
        <w:jc w:val="both"/>
      </w:pPr>
    </w:p>
    <w:p w14:paraId="39A6DB41" w14:textId="5136281A" w:rsidR="0041384F" w:rsidRDefault="0041384F" w:rsidP="00782261">
      <w:pPr>
        <w:jc w:val="both"/>
      </w:pPr>
    </w:p>
    <w:p w14:paraId="25AD3EF8" w14:textId="02557B8D" w:rsidR="0041384F" w:rsidRDefault="0041384F" w:rsidP="00782261">
      <w:pPr>
        <w:jc w:val="both"/>
      </w:pPr>
    </w:p>
    <w:p w14:paraId="24718054" w14:textId="3154E186" w:rsidR="0041384F" w:rsidRDefault="0041384F" w:rsidP="00782261">
      <w:pPr>
        <w:jc w:val="both"/>
      </w:pPr>
    </w:p>
    <w:p w14:paraId="205C9558" w14:textId="1ADA0545" w:rsidR="0041384F" w:rsidRDefault="0041384F" w:rsidP="00782261">
      <w:pPr>
        <w:jc w:val="both"/>
      </w:pPr>
    </w:p>
    <w:p w14:paraId="3908F9AA" w14:textId="285EC12E" w:rsidR="0041384F" w:rsidRDefault="0041384F" w:rsidP="00782261">
      <w:pPr>
        <w:jc w:val="both"/>
      </w:pPr>
    </w:p>
    <w:p w14:paraId="5625D40E" w14:textId="04450ED5" w:rsidR="0041384F" w:rsidRDefault="0041384F" w:rsidP="00782261">
      <w:pPr>
        <w:jc w:val="both"/>
      </w:pPr>
    </w:p>
    <w:p w14:paraId="6856AA83" w14:textId="5FD85913" w:rsidR="0041384F" w:rsidRDefault="0041384F" w:rsidP="00782261">
      <w:pPr>
        <w:jc w:val="both"/>
      </w:pPr>
    </w:p>
    <w:p w14:paraId="09DE26EA" w14:textId="2A879FE6" w:rsidR="0041384F" w:rsidRDefault="0041384F" w:rsidP="00782261">
      <w:pPr>
        <w:jc w:val="both"/>
      </w:pPr>
    </w:p>
    <w:p w14:paraId="300DF992" w14:textId="232C26AA" w:rsidR="0041384F" w:rsidRDefault="0041384F" w:rsidP="00782261">
      <w:pPr>
        <w:jc w:val="both"/>
      </w:pPr>
    </w:p>
    <w:p w14:paraId="6FD40C51" w14:textId="34E960FC" w:rsidR="0041384F" w:rsidRDefault="0041384F" w:rsidP="00782261">
      <w:pPr>
        <w:jc w:val="both"/>
      </w:pPr>
    </w:p>
    <w:p w14:paraId="783A6A33" w14:textId="740931BE" w:rsidR="0041384F" w:rsidRDefault="0041384F" w:rsidP="00782261">
      <w:pPr>
        <w:jc w:val="both"/>
      </w:pPr>
    </w:p>
    <w:p w14:paraId="1FC632BF" w14:textId="11959272" w:rsidR="0041384F" w:rsidRDefault="0041384F" w:rsidP="00782261">
      <w:pPr>
        <w:jc w:val="both"/>
      </w:pPr>
    </w:p>
    <w:p w14:paraId="321FD6B6" w14:textId="0A7CDFE8" w:rsidR="0041384F" w:rsidRDefault="0041384F" w:rsidP="00782261">
      <w:pPr>
        <w:jc w:val="both"/>
      </w:pPr>
    </w:p>
    <w:p w14:paraId="73A68E4F" w14:textId="57AE7465" w:rsidR="0041384F" w:rsidRDefault="0041384F" w:rsidP="00782261">
      <w:pPr>
        <w:jc w:val="both"/>
      </w:pPr>
    </w:p>
    <w:p w14:paraId="5AB41EBB" w14:textId="4B0BD62E" w:rsidR="0041384F" w:rsidRDefault="0041384F" w:rsidP="00782261">
      <w:pPr>
        <w:jc w:val="both"/>
      </w:pPr>
    </w:p>
    <w:p w14:paraId="0A5BAEA9" w14:textId="77777777" w:rsidR="007961F3" w:rsidRDefault="007961F3" w:rsidP="00782261">
      <w:pPr>
        <w:jc w:val="both"/>
      </w:pPr>
    </w:p>
    <w:p w14:paraId="08A1589D" w14:textId="63AB7EED" w:rsidR="00A5722C" w:rsidRPr="00F8380B" w:rsidRDefault="00A5722C" w:rsidP="002D4276">
      <w:pPr>
        <w:pStyle w:val="Titolo1"/>
        <w:numPr>
          <w:ilvl w:val="0"/>
          <w:numId w:val="9"/>
        </w:numPr>
        <w:rPr>
          <w:b/>
          <w:bCs/>
        </w:rPr>
      </w:pPr>
      <w:bookmarkStart w:id="24" w:name="_Toc103881191"/>
      <w:r w:rsidRPr="00F8380B">
        <w:rPr>
          <w:b/>
          <w:bCs/>
        </w:rPr>
        <w:lastRenderedPageBreak/>
        <w:t>Gestione del demanio</w:t>
      </w:r>
      <w:bookmarkEnd w:id="24"/>
    </w:p>
    <w:p w14:paraId="30D13CB4" w14:textId="4C123193" w:rsidR="00A5722C" w:rsidRPr="00701CAA" w:rsidRDefault="00A5722C" w:rsidP="002D4276">
      <w:pPr>
        <w:pStyle w:val="Titolo2"/>
        <w:numPr>
          <w:ilvl w:val="1"/>
          <w:numId w:val="9"/>
        </w:numPr>
        <w:rPr>
          <w:u w:val="single"/>
        </w:rPr>
      </w:pPr>
      <w:bookmarkStart w:id="25" w:name="_Toc103881192"/>
      <w:r w:rsidRPr="00701CAA">
        <w:rPr>
          <w:u w:val="single"/>
        </w:rPr>
        <w:t>Notizie in merito all’applicazione dell’articolo 199, comma 1, lett.a) del decreto legge n. 34/2020, conv. in legge n. 77/2020.</w:t>
      </w:r>
      <w:bookmarkEnd w:id="25"/>
    </w:p>
    <w:p w14:paraId="0EE23A0D" w14:textId="77777777" w:rsidR="00701CAA" w:rsidRDefault="00A5722C" w:rsidP="00A5722C">
      <w:pPr>
        <w:jc w:val="both"/>
      </w:pPr>
      <w:r>
        <w:t>Nelle more della definizione della riduzione dei canoni demaniali da riconoscere per il 2021 ai concessionari a seguito dell’estensione al 2021 del D.L. n. 34/2020 convertito con L. 77/2020 introdotta dall’art. 4, comma 5 del D.L. 121/2021, convertito con L. 156/2021 si è provveduto ad apporre un vincolo sull’avanzo di amministrazione di complessivi € 2.700.000 quale risultato del seguente calcolo:</w:t>
      </w:r>
    </w:p>
    <w:p w14:paraId="7223D769" w14:textId="77777777" w:rsidR="00701CAA" w:rsidRDefault="00A5722C" w:rsidP="002D4276">
      <w:pPr>
        <w:pStyle w:val="Paragrafoelenco"/>
        <w:numPr>
          <w:ilvl w:val="0"/>
          <w:numId w:val="8"/>
        </w:numPr>
        <w:jc w:val="both"/>
      </w:pPr>
      <w:r>
        <w:t xml:space="preserve">€ 2.300.000 quale riduzione da concedere da gennaio a luglio 2021, ai sensi del D.L. 121/2021 (estensione al 2021 del D.L. 34/2020) al gestore del terminal crociere; </w:t>
      </w:r>
    </w:p>
    <w:p w14:paraId="70E5B6F3" w14:textId="11E0A4ED" w:rsidR="00A5722C" w:rsidRDefault="00A5722C" w:rsidP="002D4276">
      <w:pPr>
        <w:pStyle w:val="Paragrafoelenco"/>
        <w:numPr>
          <w:ilvl w:val="0"/>
          <w:numId w:val="8"/>
        </w:numPr>
        <w:jc w:val="both"/>
      </w:pPr>
      <w:r>
        <w:t>€ 400.000 quale riduzione da concedere ai concessionari ad altri concessionari in analogia al 2020 pari 0,4 mln.</w:t>
      </w:r>
    </w:p>
    <w:p w14:paraId="37A88C60" w14:textId="77777777" w:rsidR="00A5722C" w:rsidRDefault="00A5722C" w:rsidP="00A5722C">
      <w:pPr>
        <w:jc w:val="both"/>
      </w:pPr>
    </w:p>
    <w:p w14:paraId="581E21B4" w14:textId="031BA9CE" w:rsidR="00A5722C" w:rsidRPr="00701CAA" w:rsidRDefault="00A5722C" w:rsidP="002D4276">
      <w:pPr>
        <w:pStyle w:val="Titolo2"/>
        <w:numPr>
          <w:ilvl w:val="1"/>
          <w:numId w:val="9"/>
        </w:numPr>
        <w:rPr>
          <w:u w:val="single"/>
        </w:rPr>
      </w:pPr>
      <w:bookmarkStart w:id="26" w:name="_Toc103881193"/>
      <w:r w:rsidRPr="00701CAA">
        <w:rPr>
          <w:u w:val="single"/>
        </w:rPr>
        <w:t>Introiti per canoni, tempi di riscossione, ammontare canoni non riscossi e azioni di recupero per morosità.</w:t>
      </w:r>
      <w:bookmarkEnd w:id="26"/>
    </w:p>
    <w:p w14:paraId="30A6D671" w14:textId="77777777" w:rsidR="00750660" w:rsidRDefault="00A5722C" w:rsidP="00A5722C">
      <w:pPr>
        <w:jc w:val="both"/>
      </w:pPr>
      <w:r>
        <w:t xml:space="preserve">Anche nel corso del 2021 si è mantenuto il consolidamento delle procedure tra le aree del demanio e della Direzione Programmazione e Finanza al fine di approfondire ed efficientare i processi di riscossione e recupero dei corrispettivi demaniali. </w:t>
      </w:r>
    </w:p>
    <w:p w14:paraId="16FFE6A3" w14:textId="6CB32BDE" w:rsidR="00A5722C" w:rsidRDefault="00A5722C" w:rsidP="00A5722C">
      <w:pPr>
        <w:jc w:val="both"/>
      </w:pPr>
      <w:r>
        <w:t>Nello specifico tale attività in questo esercizio ha avuto ad oggetto anche la gestione della sospensione del pagamento dei canoni introdotta a partire dal D.L. 18/2020.</w:t>
      </w:r>
    </w:p>
    <w:p w14:paraId="723FB26F" w14:textId="77777777" w:rsidR="00A5722C" w:rsidRDefault="00A5722C" w:rsidP="00A5722C">
      <w:pPr>
        <w:jc w:val="both"/>
      </w:pPr>
      <w:r>
        <w:t>Dal 2013 (disposizione di servizio n. 395), il Dirigente della Direzione Programmazione e Finanza è stato nominato Responsabile della Riscossione delle Entrate e sono state delineate le linee operative in materia di:</w:t>
      </w:r>
    </w:p>
    <w:p w14:paraId="272474D9" w14:textId="77777777" w:rsidR="003045E8" w:rsidRDefault="00A5722C" w:rsidP="002D4276">
      <w:pPr>
        <w:pStyle w:val="Paragrafoelenco"/>
        <w:numPr>
          <w:ilvl w:val="0"/>
          <w:numId w:val="16"/>
        </w:numPr>
        <w:jc w:val="both"/>
      </w:pPr>
      <w:r>
        <w:t>Modal</w:t>
      </w:r>
      <w:r w:rsidR="007D364F">
        <w:t>ità di riscossione del credito;</w:t>
      </w:r>
    </w:p>
    <w:p w14:paraId="00AC352C" w14:textId="77777777" w:rsidR="003045E8" w:rsidRDefault="00A5722C" w:rsidP="002D4276">
      <w:pPr>
        <w:pStyle w:val="Paragrafoelenco"/>
        <w:numPr>
          <w:ilvl w:val="0"/>
          <w:numId w:val="16"/>
        </w:numPr>
        <w:jc w:val="both"/>
      </w:pPr>
      <w:r>
        <w:t>Contestazione sugli addebiti;</w:t>
      </w:r>
    </w:p>
    <w:p w14:paraId="4E6EE4F3" w14:textId="77777777" w:rsidR="003045E8" w:rsidRDefault="00A5722C" w:rsidP="002D4276">
      <w:pPr>
        <w:pStyle w:val="Paragrafoelenco"/>
        <w:numPr>
          <w:ilvl w:val="0"/>
          <w:numId w:val="16"/>
        </w:numPr>
        <w:jc w:val="both"/>
      </w:pPr>
      <w:r>
        <w:t>Solleciti di pagamenti;</w:t>
      </w:r>
    </w:p>
    <w:p w14:paraId="17A534A7" w14:textId="27C1BCA6" w:rsidR="00A5722C" w:rsidRDefault="00A5722C" w:rsidP="002D4276">
      <w:pPr>
        <w:pStyle w:val="Paragrafoelenco"/>
        <w:numPr>
          <w:ilvl w:val="0"/>
          <w:numId w:val="16"/>
        </w:numPr>
        <w:jc w:val="both"/>
      </w:pPr>
      <w:r>
        <w:t>Dilazioni di pagamento.</w:t>
      </w:r>
    </w:p>
    <w:p w14:paraId="1C6564E0" w14:textId="1F5CF772" w:rsidR="0041384F" w:rsidRDefault="00A5722C" w:rsidP="00A5722C">
      <w:pPr>
        <w:jc w:val="both"/>
      </w:pPr>
      <w:r>
        <w:t>Di seguito sono esposti i risultati della riscossione delle entrate di competenza e a residuo.</w:t>
      </w:r>
    </w:p>
    <w:p w14:paraId="4C8D884F" w14:textId="77777777" w:rsidR="00750660" w:rsidRDefault="00750660" w:rsidP="00A5722C">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1665"/>
        <w:gridCol w:w="1666"/>
        <w:gridCol w:w="1666"/>
        <w:gridCol w:w="1666"/>
      </w:tblGrid>
      <w:tr w:rsidR="00A5722C" w:rsidRPr="008D6F7F" w14:paraId="7D1964D3" w14:textId="77777777" w:rsidTr="00750660">
        <w:trPr>
          <w:trHeight w:val="218"/>
        </w:trPr>
        <w:tc>
          <w:tcPr>
            <w:tcW w:w="9039" w:type="dxa"/>
            <w:gridSpan w:val="5"/>
            <w:shd w:val="clear" w:color="auto" w:fill="A6A6A6" w:themeFill="background1" w:themeFillShade="A6"/>
          </w:tcPr>
          <w:p w14:paraId="213804B5" w14:textId="77777777" w:rsidR="00A5722C" w:rsidRPr="008D6F7F" w:rsidRDefault="00A5722C" w:rsidP="006F5F60">
            <w:pPr>
              <w:jc w:val="center"/>
              <w:rPr>
                <w:b/>
                <w:sz w:val="24"/>
                <w:szCs w:val="24"/>
              </w:rPr>
            </w:pPr>
            <w:r w:rsidRPr="008D6F7F">
              <w:rPr>
                <w:b/>
                <w:sz w:val="24"/>
                <w:szCs w:val="24"/>
              </w:rPr>
              <w:t>COMPETENZE</w:t>
            </w:r>
          </w:p>
        </w:tc>
      </w:tr>
      <w:tr w:rsidR="00A5722C" w:rsidRPr="008D6F7F" w14:paraId="62774163" w14:textId="77777777" w:rsidTr="00472452">
        <w:tc>
          <w:tcPr>
            <w:tcW w:w="2376" w:type="dxa"/>
            <w:shd w:val="clear" w:color="auto" w:fill="A6A6A6" w:themeFill="background1" w:themeFillShade="A6"/>
          </w:tcPr>
          <w:p w14:paraId="523DE105" w14:textId="77777777" w:rsidR="00A5722C" w:rsidRPr="008D6F7F" w:rsidRDefault="00A5722C" w:rsidP="006F5F60">
            <w:pPr>
              <w:rPr>
                <w:sz w:val="24"/>
                <w:szCs w:val="24"/>
              </w:rPr>
            </w:pPr>
          </w:p>
        </w:tc>
        <w:tc>
          <w:tcPr>
            <w:tcW w:w="1665" w:type="dxa"/>
            <w:shd w:val="clear" w:color="auto" w:fill="D9D9D9" w:themeFill="background1" w:themeFillShade="D9"/>
          </w:tcPr>
          <w:p w14:paraId="2AEE6C16" w14:textId="77777777" w:rsidR="00A5722C" w:rsidRPr="008D6F7F" w:rsidRDefault="00A5722C" w:rsidP="006F5F60">
            <w:pPr>
              <w:jc w:val="center"/>
              <w:rPr>
                <w:b/>
                <w:sz w:val="24"/>
                <w:szCs w:val="24"/>
              </w:rPr>
            </w:pPr>
            <w:r w:rsidRPr="008D6F7F">
              <w:rPr>
                <w:b/>
                <w:sz w:val="24"/>
                <w:szCs w:val="24"/>
              </w:rPr>
              <w:t>2018</w:t>
            </w:r>
          </w:p>
        </w:tc>
        <w:tc>
          <w:tcPr>
            <w:tcW w:w="1666" w:type="dxa"/>
            <w:shd w:val="clear" w:color="auto" w:fill="D9D9D9" w:themeFill="background1" w:themeFillShade="D9"/>
          </w:tcPr>
          <w:p w14:paraId="17B557B8" w14:textId="77777777" w:rsidR="00A5722C" w:rsidRPr="008D6F7F" w:rsidRDefault="00A5722C" w:rsidP="006F5F60">
            <w:pPr>
              <w:jc w:val="center"/>
              <w:rPr>
                <w:b/>
                <w:sz w:val="24"/>
                <w:szCs w:val="24"/>
              </w:rPr>
            </w:pPr>
            <w:r w:rsidRPr="008D6F7F">
              <w:rPr>
                <w:b/>
                <w:sz w:val="24"/>
                <w:szCs w:val="24"/>
              </w:rPr>
              <w:t>2019</w:t>
            </w:r>
          </w:p>
        </w:tc>
        <w:tc>
          <w:tcPr>
            <w:tcW w:w="1666" w:type="dxa"/>
            <w:shd w:val="clear" w:color="auto" w:fill="D9D9D9" w:themeFill="background1" w:themeFillShade="D9"/>
          </w:tcPr>
          <w:p w14:paraId="22F2EB83" w14:textId="77777777" w:rsidR="00A5722C" w:rsidRPr="008D6F7F" w:rsidRDefault="00A5722C" w:rsidP="006F5F60">
            <w:pPr>
              <w:tabs>
                <w:tab w:val="center" w:pos="813"/>
                <w:tab w:val="right" w:pos="1627"/>
              </w:tabs>
              <w:jc w:val="center"/>
              <w:rPr>
                <w:b/>
                <w:sz w:val="24"/>
                <w:szCs w:val="24"/>
              </w:rPr>
            </w:pPr>
            <w:r w:rsidRPr="008D6F7F">
              <w:rPr>
                <w:b/>
                <w:sz w:val="24"/>
                <w:szCs w:val="24"/>
              </w:rPr>
              <w:t>2020</w:t>
            </w:r>
          </w:p>
        </w:tc>
        <w:tc>
          <w:tcPr>
            <w:tcW w:w="1666" w:type="dxa"/>
            <w:shd w:val="clear" w:color="auto" w:fill="D9D9D9" w:themeFill="background1" w:themeFillShade="D9"/>
          </w:tcPr>
          <w:p w14:paraId="5C41C6DF" w14:textId="77777777" w:rsidR="00A5722C" w:rsidRPr="008D6F7F" w:rsidRDefault="00A5722C" w:rsidP="006F5F60">
            <w:pPr>
              <w:tabs>
                <w:tab w:val="center" w:pos="813"/>
                <w:tab w:val="right" w:pos="1627"/>
              </w:tabs>
              <w:jc w:val="center"/>
              <w:rPr>
                <w:b/>
                <w:sz w:val="24"/>
                <w:szCs w:val="24"/>
              </w:rPr>
            </w:pPr>
            <w:r w:rsidRPr="008D6F7F">
              <w:rPr>
                <w:b/>
                <w:sz w:val="24"/>
                <w:szCs w:val="24"/>
              </w:rPr>
              <w:t>2021</w:t>
            </w:r>
          </w:p>
        </w:tc>
      </w:tr>
      <w:tr w:rsidR="00A5722C" w:rsidRPr="008D6F7F" w14:paraId="0BC3BD81" w14:textId="77777777" w:rsidTr="00472452">
        <w:tc>
          <w:tcPr>
            <w:tcW w:w="2376" w:type="dxa"/>
            <w:shd w:val="clear" w:color="auto" w:fill="A6A6A6" w:themeFill="background1" w:themeFillShade="A6"/>
          </w:tcPr>
          <w:p w14:paraId="14144DC8" w14:textId="77777777" w:rsidR="00A5722C" w:rsidRPr="008D6F7F" w:rsidRDefault="00A5722C" w:rsidP="006F5F60">
            <w:pPr>
              <w:rPr>
                <w:sz w:val="24"/>
                <w:szCs w:val="24"/>
              </w:rPr>
            </w:pPr>
            <w:r w:rsidRPr="008D6F7F">
              <w:rPr>
                <w:sz w:val="24"/>
                <w:szCs w:val="24"/>
              </w:rPr>
              <w:t>A) FATTURATO</w:t>
            </w:r>
          </w:p>
        </w:tc>
        <w:tc>
          <w:tcPr>
            <w:tcW w:w="1665" w:type="dxa"/>
            <w:shd w:val="clear" w:color="auto" w:fill="D9D9D9" w:themeFill="background1" w:themeFillShade="D9"/>
          </w:tcPr>
          <w:p w14:paraId="69F8AAD3" w14:textId="77777777" w:rsidR="00A5722C" w:rsidRPr="008D6F7F" w:rsidRDefault="00A5722C" w:rsidP="006F5F60">
            <w:pPr>
              <w:jc w:val="right"/>
              <w:rPr>
                <w:sz w:val="24"/>
                <w:szCs w:val="24"/>
              </w:rPr>
            </w:pPr>
            <w:r w:rsidRPr="008D6F7F">
              <w:rPr>
                <w:sz w:val="24"/>
                <w:szCs w:val="24"/>
              </w:rPr>
              <w:t>23.245.135</w:t>
            </w:r>
          </w:p>
        </w:tc>
        <w:tc>
          <w:tcPr>
            <w:tcW w:w="1666" w:type="dxa"/>
            <w:shd w:val="clear" w:color="auto" w:fill="D9D9D9" w:themeFill="background1" w:themeFillShade="D9"/>
          </w:tcPr>
          <w:p w14:paraId="03BE5133" w14:textId="77777777" w:rsidR="00A5722C" w:rsidRPr="008D6F7F" w:rsidRDefault="00A5722C" w:rsidP="006F5F60">
            <w:pPr>
              <w:jc w:val="right"/>
              <w:rPr>
                <w:sz w:val="24"/>
                <w:szCs w:val="24"/>
              </w:rPr>
            </w:pPr>
            <w:r w:rsidRPr="008D6F7F">
              <w:rPr>
                <w:sz w:val="24"/>
                <w:szCs w:val="24"/>
              </w:rPr>
              <w:t>24.155.203</w:t>
            </w:r>
          </w:p>
        </w:tc>
        <w:tc>
          <w:tcPr>
            <w:tcW w:w="1666" w:type="dxa"/>
            <w:shd w:val="clear" w:color="auto" w:fill="D9D9D9" w:themeFill="background1" w:themeFillShade="D9"/>
          </w:tcPr>
          <w:p w14:paraId="373DBE43" w14:textId="77777777" w:rsidR="00A5722C" w:rsidRPr="008D6F7F" w:rsidRDefault="00A5722C" w:rsidP="006F5F60">
            <w:pPr>
              <w:jc w:val="right"/>
              <w:rPr>
                <w:sz w:val="24"/>
                <w:szCs w:val="24"/>
              </w:rPr>
            </w:pPr>
            <w:r w:rsidRPr="008D6F7F">
              <w:rPr>
                <w:sz w:val="24"/>
                <w:szCs w:val="24"/>
              </w:rPr>
              <w:t>19.774.118</w:t>
            </w:r>
          </w:p>
        </w:tc>
        <w:tc>
          <w:tcPr>
            <w:tcW w:w="1666" w:type="dxa"/>
            <w:shd w:val="clear" w:color="auto" w:fill="D9D9D9" w:themeFill="background1" w:themeFillShade="D9"/>
          </w:tcPr>
          <w:p w14:paraId="56B8D4AC" w14:textId="77777777" w:rsidR="00A5722C" w:rsidRPr="008D6F7F" w:rsidRDefault="00A5722C" w:rsidP="006F5F60">
            <w:pPr>
              <w:jc w:val="right"/>
              <w:rPr>
                <w:sz w:val="24"/>
                <w:szCs w:val="24"/>
              </w:rPr>
            </w:pPr>
            <w:r w:rsidRPr="008D6F7F">
              <w:rPr>
                <w:sz w:val="24"/>
                <w:szCs w:val="24"/>
              </w:rPr>
              <w:t>25.429.322</w:t>
            </w:r>
          </w:p>
        </w:tc>
      </w:tr>
      <w:tr w:rsidR="00A5722C" w:rsidRPr="008D6F7F" w14:paraId="475F7258" w14:textId="77777777" w:rsidTr="00472452">
        <w:tc>
          <w:tcPr>
            <w:tcW w:w="2376" w:type="dxa"/>
            <w:shd w:val="clear" w:color="auto" w:fill="A6A6A6" w:themeFill="background1" w:themeFillShade="A6"/>
          </w:tcPr>
          <w:p w14:paraId="6F49AA5E" w14:textId="77777777" w:rsidR="00A5722C" w:rsidRPr="008D6F7F" w:rsidRDefault="00A5722C" w:rsidP="006F5F60">
            <w:pPr>
              <w:rPr>
                <w:sz w:val="24"/>
                <w:szCs w:val="24"/>
              </w:rPr>
            </w:pPr>
            <w:r w:rsidRPr="008D6F7F">
              <w:rPr>
                <w:sz w:val="24"/>
                <w:szCs w:val="24"/>
              </w:rPr>
              <w:t>B) INCASSATO</w:t>
            </w:r>
          </w:p>
        </w:tc>
        <w:tc>
          <w:tcPr>
            <w:tcW w:w="1665" w:type="dxa"/>
            <w:shd w:val="clear" w:color="auto" w:fill="D9D9D9" w:themeFill="background1" w:themeFillShade="D9"/>
          </w:tcPr>
          <w:p w14:paraId="7819D44D" w14:textId="77777777" w:rsidR="00A5722C" w:rsidRPr="008D6F7F" w:rsidRDefault="00A5722C" w:rsidP="006F5F60">
            <w:pPr>
              <w:jc w:val="right"/>
              <w:rPr>
                <w:sz w:val="24"/>
                <w:szCs w:val="24"/>
              </w:rPr>
            </w:pPr>
            <w:r w:rsidRPr="008D6F7F">
              <w:rPr>
                <w:sz w:val="24"/>
                <w:szCs w:val="24"/>
              </w:rPr>
              <w:t>17.693.605</w:t>
            </w:r>
          </w:p>
        </w:tc>
        <w:tc>
          <w:tcPr>
            <w:tcW w:w="1666" w:type="dxa"/>
            <w:shd w:val="clear" w:color="auto" w:fill="D9D9D9" w:themeFill="background1" w:themeFillShade="D9"/>
          </w:tcPr>
          <w:p w14:paraId="11F28D6E" w14:textId="77777777" w:rsidR="00A5722C" w:rsidRPr="008D6F7F" w:rsidRDefault="00A5722C" w:rsidP="006F5F60">
            <w:pPr>
              <w:jc w:val="right"/>
              <w:rPr>
                <w:sz w:val="24"/>
                <w:szCs w:val="24"/>
              </w:rPr>
            </w:pPr>
            <w:r w:rsidRPr="008D6F7F">
              <w:rPr>
                <w:sz w:val="24"/>
                <w:szCs w:val="24"/>
              </w:rPr>
              <w:t>18.155.996</w:t>
            </w:r>
          </w:p>
        </w:tc>
        <w:tc>
          <w:tcPr>
            <w:tcW w:w="1666" w:type="dxa"/>
            <w:shd w:val="clear" w:color="auto" w:fill="D9D9D9" w:themeFill="background1" w:themeFillShade="D9"/>
          </w:tcPr>
          <w:p w14:paraId="21286764" w14:textId="77777777" w:rsidR="00A5722C" w:rsidRPr="008D6F7F" w:rsidRDefault="00A5722C" w:rsidP="006F5F60">
            <w:pPr>
              <w:jc w:val="right"/>
              <w:rPr>
                <w:sz w:val="24"/>
                <w:szCs w:val="24"/>
              </w:rPr>
            </w:pPr>
            <w:r w:rsidRPr="008D6F7F">
              <w:rPr>
                <w:sz w:val="24"/>
                <w:szCs w:val="24"/>
              </w:rPr>
              <w:t>10.587.854</w:t>
            </w:r>
          </w:p>
        </w:tc>
        <w:tc>
          <w:tcPr>
            <w:tcW w:w="1666" w:type="dxa"/>
            <w:shd w:val="clear" w:color="auto" w:fill="D9D9D9" w:themeFill="background1" w:themeFillShade="D9"/>
          </w:tcPr>
          <w:p w14:paraId="2613242C" w14:textId="77777777" w:rsidR="00A5722C" w:rsidRPr="008D6F7F" w:rsidRDefault="00A5722C" w:rsidP="006F5F60">
            <w:pPr>
              <w:jc w:val="right"/>
              <w:rPr>
                <w:sz w:val="24"/>
                <w:szCs w:val="24"/>
              </w:rPr>
            </w:pPr>
            <w:r w:rsidRPr="008D6F7F">
              <w:rPr>
                <w:sz w:val="24"/>
                <w:szCs w:val="24"/>
              </w:rPr>
              <w:t>13.232.616</w:t>
            </w:r>
          </w:p>
        </w:tc>
      </w:tr>
      <w:tr w:rsidR="00A5722C" w:rsidRPr="008D6F7F" w14:paraId="70D524C0" w14:textId="77777777" w:rsidTr="00472452">
        <w:trPr>
          <w:trHeight w:val="260"/>
        </w:trPr>
        <w:tc>
          <w:tcPr>
            <w:tcW w:w="2376" w:type="dxa"/>
            <w:shd w:val="clear" w:color="auto" w:fill="A6A6A6" w:themeFill="background1" w:themeFillShade="A6"/>
          </w:tcPr>
          <w:p w14:paraId="27A6A4B6" w14:textId="77777777" w:rsidR="00A5722C" w:rsidRPr="008D6F7F" w:rsidRDefault="00A5722C" w:rsidP="006F5F60">
            <w:pPr>
              <w:rPr>
                <w:sz w:val="24"/>
                <w:szCs w:val="24"/>
              </w:rPr>
            </w:pPr>
            <w:r w:rsidRPr="008D6F7F">
              <w:rPr>
                <w:sz w:val="24"/>
                <w:szCs w:val="24"/>
              </w:rPr>
              <w:t>RAPPORTO B/A</w:t>
            </w:r>
          </w:p>
        </w:tc>
        <w:tc>
          <w:tcPr>
            <w:tcW w:w="1665" w:type="dxa"/>
            <w:shd w:val="clear" w:color="auto" w:fill="D9D9D9" w:themeFill="background1" w:themeFillShade="D9"/>
          </w:tcPr>
          <w:p w14:paraId="3F0992B0" w14:textId="77777777" w:rsidR="00A5722C" w:rsidRPr="008D6F7F" w:rsidRDefault="00A5722C" w:rsidP="006F5F60">
            <w:pPr>
              <w:jc w:val="right"/>
              <w:rPr>
                <w:sz w:val="24"/>
                <w:szCs w:val="24"/>
              </w:rPr>
            </w:pPr>
            <w:r w:rsidRPr="008D6F7F">
              <w:rPr>
                <w:sz w:val="24"/>
                <w:szCs w:val="24"/>
              </w:rPr>
              <w:t>76,12%</w:t>
            </w:r>
          </w:p>
        </w:tc>
        <w:tc>
          <w:tcPr>
            <w:tcW w:w="1666" w:type="dxa"/>
            <w:shd w:val="clear" w:color="auto" w:fill="D9D9D9" w:themeFill="background1" w:themeFillShade="D9"/>
          </w:tcPr>
          <w:p w14:paraId="6D4D4918" w14:textId="77777777" w:rsidR="00A5722C" w:rsidRPr="008D6F7F" w:rsidRDefault="00A5722C" w:rsidP="006F5F60">
            <w:pPr>
              <w:jc w:val="right"/>
              <w:rPr>
                <w:sz w:val="24"/>
                <w:szCs w:val="24"/>
              </w:rPr>
            </w:pPr>
            <w:r w:rsidRPr="008D6F7F">
              <w:rPr>
                <w:sz w:val="24"/>
                <w:szCs w:val="24"/>
              </w:rPr>
              <w:t>75,16%</w:t>
            </w:r>
          </w:p>
        </w:tc>
        <w:tc>
          <w:tcPr>
            <w:tcW w:w="1666" w:type="dxa"/>
            <w:shd w:val="clear" w:color="auto" w:fill="D9D9D9" w:themeFill="background1" w:themeFillShade="D9"/>
          </w:tcPr>
          <w:p w14:paraId="48FA11C8" w14:textId="77777777" w:rsidR="00A5722C" w:rsidRPr="008D6F7F" w:rsidRDefault="00A5722C" w:rsidP="006F5F60">
            <w:pPr>
              <w:jc w:val="right"/>
              <w:rPr>
                <w:sz w:val="24"/>
                <w:szCs w:val="24"/>
              </w:rPr>
            </w:pPr>
            <w:r w:rsidRPr="008D6F7F">
              <w:rPr>
                <w:sz w:val="24"/>
                <w:szCs w:val="24"/>
              </w:rPr>
              <w:t>53,54%</w:t>
            </w:r>
          </w:p>
        </w:tc>
        <w:tc>
          <w:tcPr>
            <w:tcW w:w="1666" w:type="dxa"/>
            <w:shd w:val="clear" w:color="auto" w:fill="D9D9D9" w:themeFill="background1" w:themeFillShade="D9"/>
          </w:tcPr>
          <w:p w14:paraId="3C890D6F" w14:textId="77777777" w:rsidR="00A5722C" w:rsidRPr="008D6F7F" w:rsidRDefault="00A5722C" w:rsidP="006F5F60">
            <w:pPr>
              <w:jc w:val="right"/>
              <w:rPr>
                <w:sz w:val="24"/>
                <w:szCs w:val="24"/>
              </w:rPr>
            </w:pPr>
            <w:r w:rsidRPr="008D6F7F">
              <w:rPr>
                <w:sz w:val="24"/>
                <w:szCs w:val="24"/>
              </w:rPr>
              <w:t>52,04%</w:t>
            </w:r>
          </w:p>
        </w:tc>
      </w:tr>
    </w:tbl>
    <w:p w14:paraId="3A45E008" w14:textId="759EDA74" w:rsidR="007D364F" w:rsidRDefault="007D364F" w:rsidP="00782261">
      <w:pPr>
        <w:jc w:val="both"/>
      </w:pPr>
      <w:r>
        <w:rPr>
          <w:noProof/>
          <w:lang w:eastAsia="it-IT"/>
        </w:rPr>
        <mc:AlternateContent>
          <mc:Choice Requires="wps">
            <w:drawing>
              <wp:anchor distT="0" distB="0" distL="114300" distR="114300" simplePos="0" relativeHeight="251698176" behindDoc="0" locked="0" layoutInCell="1" allowOverlap="1" wp14:anchorId="459E70FD" wp14:editId="3A21F658">
                <wp:simplePos x="0" y="0"/>
                <wp:positionH relativeFrom="margin">
                  <wp:posOffset>0</wp:posOffset>
                </wp:positionH>
                <wp:positionV relativeFrom="paragraph">
                  <wp:posOffset>-635</wp:posOffset>
                </wp:positionV>
                <wp:extent cx="5744845" cy="253365"/>
                <wp:effectExtent l="0" t="0" r="27305" b="13335"/>
                <wp:wrapNone/>
                <wp:docPr id="26" name="Casella di testo 26"/>
                <wp:cNvGraphicFramePr/>
                <a:graphic xmlns:a="http://schemas.openxmlformats.org/drawingml/2006/main">
                  <a:graphicData uri="http://schemas.microsoft.com/office/word/2010/wordprocessingShape">
                    <wps:wsp>
                      <wps:cNvSpPr txBox="1"/>
                      <wps:spPr>
                        <a:xfrm>
                          <a:off x="0" y="0"/>
                          <a:ext cx="5744845" cy="25336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122E25F" w14:textId="7E9D8649" w:rsidR="007D364F" w:rsidRPr="00A549AF" w:rsidRDefault="007D364F" w:rsidP="007D364F">
                            <w:pPr>
                              <w:rPr>
                                <w:sz w:val="16"/>
                                <w:szCs w:val="16"/>
                              </w:rPr>
                            </w:pPr>
                            <w:r>
                              <w:rPr>
                                <w:sz w:val="16"/>
                                <w:szCs w:val="16"/>
                              </w:rPr>
                              <w:t>Tab. 1</w:t>
                            </w:r>
                            <w:r w:rsidR="00B51AFE">
                              <w:rPr>
                                <w:sz w:val="16"/>
                                <w:szCs w:val="16"/>
                              </w:rPr>
                              <w:t>4</w:t>
                            </w:r>
                            <w:r>
                              <w:rPr>
                                <w:sz w:val="16"/>
                                <w:szCs w:val="16"/>
                              </w:rPr>
                              <w:t xml:space="preserve">: </w:t>
                            </w:r>
                            <w:r w:rsidRPr="007D364F">
                              <w:rPr>
                                <w:sz w:val="16"/>
                                <w:szCs w:val="16"/>
                              </w:rPr>
                              <w:t xml:space="preserve">risultati della riscossione delle entrate </w:t>
                            </w:r>
                            <w:r>
                              <w:rPr>
                                <w:sz w:val="16"/>
                                <w:szCs w:val="16"/>
                              </w:rPr>
                              <w:t>di competenza nel 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459E70FD" id="Casella di testo 26" o:spid="_x0000_s1038" type="#_x0000_t202" style="position:absolute;left:0;text-align:left;margin-left:0;margin-top:-.05pt;width:452.35pt;height:19.95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" fillcolor="white [3201]" strokeweight=".5pt">
                <v:textbox>
                  <w:txbxContent>
                    <w:p w14:paraId="2122E25F" w14:textId="7E9D8649" w:rsidR="007D364F" w:rsidRPr="00A549AF" w:rsidRDefault="007D364F" w:rsidP="007D364F">
                      <w:pPr>
                        <w:rPr>
                          <w:sz w:val="16"/>
                          <w:szCs w:val="16"/>
                        </w:rPr>
                      </w:pPr>
                      <w:r>
                        <w:rPr>
                          <w:sz w:val="16"/>
                          <w:szCs w:val="16"/>
                        </w:rPr>
                        <w:t>Tab. 1</w:t>
                      </w:r>
                      <w:r w:rsidR="00B51AFE">
                        <w:rPr>
                          <w:sz w:val="16"/>
                          <w:szCs w:val="16"/>
                        </w:rPr>
                        <w:t>4</w:t>
                      </w:r>
                      <w:r>
                        <w:rPr>
                          <w:sz w:val="16"/>
                          <w:szCs w:val="16"/>
                        </w:rPr>
                        <w:t xml:space="preserve">: </w:t>
                      </w:r>
                      <w:r w:rsidRPr="007D364F">
                        <w:rPr>
                          <w:sz w:val="16"/>
                          <w:szCs w:val="16"/>
                        </w:rPr>
                        <w:t xml:space="preserve">risultati della riscossione delle entrate </w:t>
                      </w:r>
                      <w:r>
                        <w:rPr>
                          <w:sz w:val="16"/>
                          <w:szCs w:val="16"/>
                        </w:rPr>
                        <w:t>di competenza nel 2021</w:t>
                      </w:r>
                    </w:p>
                  </w:txbxContent>
                </v:textbox>
                <w10:wrap anchorx="margin"/>
              </v:shape>
            </w:pict>
          </mc:Fallback>
        </mc:AlternateContent>
      </w:r>
    </w:p>
    <w:p w14:paraId="25B062EE" w14:textId="123A5C97" w:rsidR="007D364F" w:rsidRDefault="007D364F" w:rsidP="00782261">
      <w:pPr>
        <w:jc w:val="both"/>
      </w:pPr>
    </w:p>
    <w:p w14:paraId="1E8EB1D2" w14:textId="78F72181" w:rsidR="0041384F" w:rsidRDefault="0041384F" w:rsidP="00782261">
      <w:pPr>
        <w:jc w:val="both"/>
      </w:pPr>
    </w:p>
    <w:p w14:paraId="3BCD5B6F" w14:textId="503977AE" w:rsidR="00750660" w:rsidRDefault="00750660" w:rsidP="00782261">
      <w:pPr>
        <w:jc w:val="both"/>
      </w:pPr>
    </w:p>
    <w:p w14:paraId="47B13D8E" w14:textId="77777777" w:rsidR="00750660" w:rsidRDefault="00750660" w:rsidP="00782261">
      <w:pPr>
        <w:jc w:val="both"/>
      </w:pPr>
    </w:p>
    <w:tbl>
      <w:tblPr>
        <w:tblW w:w="0" w:type="auto"/>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ayout w:type="fixed"/>
        <w:tblLook w:val="04A0" w:firstRow="1" w:lastRow="0" w:firstColumn="1" w:lastColumn="0" w:noHBand="0" w:noVBand="1"/>
      </w:tblPr>
      <w:tblGrid>
        <w:gridCol w:w="2376"/>
        <w:gridCol w:w="1665"/>
        <w:gridCol w:w="1666"/>
        <w:gridCol w:w="1666"/>
        <w:gridCol w:w="1666"/>
      </w:tblGrid>
      <w:tr w:rsidR="00A5722C" w:rsidRPr="008D6F7F" w14:paraId="28EBBCC7" w14:textId="77777777" w:rsidTr="00750660">
        <w:tc>
          <w:tcPr>
            <w:tcW w:w="9039" w:type="dxa"/>
            <w:gridSpan w:val="5"/>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AF23519" w14:textId="77777777" w:rsidR="00A5722C" w:rsidRPr="008D6F7F" w:rsidRDefault="00A5722C" w:rsidP="006F5F60">
            <w:pPr>
              <w:jc w:val="center"/>
              <w:rPr>
                <w:b/>
                <w:sz w:val="24"/>
                <w:szCs w:val="24"/>
              </w:rPr>
            </w:pPr>
            <w:r w:rsidRPr="008D6F7F">
              <w:rPr>
                <w:b/>
                <w:sz w:val="24"/>
                <w:szCs w:val="24"/>
              </w:rPr>
              <w:t>RESIDUI</w:t>
            </w:r>
          </w:p>
        </w:tc>
      </w:tr>
      <w:tr w:rsidR="00A5722C" w:rsidRPr="008D6F7F" w14:paraId="0CFF1436" w14:textId="77777777" w:rsidTr="00750660">
        <w:tc>
          <w:tcPr>
            <w:tcW w:w="2376"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6B5D6B6" w14:textId="77777777" w:rsidR="00A5722C" w:rsidRPr="008D6F7F" w:rsidRDefault="00A5722C" w:rsidP="006F5F60">
            <w:pPr>
              <w:rPr>
                <w:sz w:val="24"/>
                <w:szCs w:val="24"/>
              </w:rPr>
            </w:pPr>
          </w:p>
        </w:tc>
        <w:tc>
          <w:tcPr>
            <w:tcW w:w="166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FAFBB4" w14:textId="77777777" w:rsidR="00A5722C" w:rsidRPr="008D6F7F" w:rsidRDefault="00A5722C" w:rsidP="006F5F60">
            <w:pPr>
              <w:jc w:val="center"/>
              <w:rPr>
                <w:b/>
                <w:sz w:val="24"/>
                <w:szCs w:val="24"/>
              </w:rPr>
            </w:pPr>
            <w:r w:rsidRPr="008D6F7F">
              <w:rPr>
                <w:b/>
                <w:sz w:val="24"/>
                <w:szCs w:val="24"/>
              </w:rPr>
              <w:t>2018</w:t>
            </w:r>
          </w:p>
        </w:tc>
        <w:tc>
          <w:tcPr>
            <w:tcW w:w="16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96FE56" w14:textId="77777777" w:rsidR="00A5722C" w:rsidRPr="008D6F7F" w:rsidRDefault="00A5722C" w:rsidP="006F5F60">
            <w:pPr>
              <w:jc w:val="center"/>
              <w:rPr>
                <w:b/>
                <w:sz w:val="24"/>
                <w:szCs w:val="24"/>
              </w:rPr>
            </w:pPr>
            <w:r w:rsidRPr="008D6F7F">
              <w:rPr>
                <w:b/>
                <w:sz w:val="24"/>
                <w:szCs w:val="24"/>
              </w:rPr>
              <w:t>2019</w:t>
            </w:r>
          </w:p>
        </w:tc>
        <w:tc>
          <w:tcPr>
            <w:tcW w:w="16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EA7E9D5" w14:textId="77777777" w:rsidR="00A5722C" w:rsidRPr="008D6F7F" w:rsidRDefault="00A5722C" w:rsidP="006F5F60">
            <w:pPr>
              <w:jc w:val="center"/>
              <w:rPr>
                <w:b/>
                <w:sz w:val="24"/>
                <w:szCs w:val="24"/>
              </w:rPr>
            </w:pPr>
            <w:r w:rsidRPr="008D6F7F">
              <w:rPr>
                <w:b/>
                <w:sz w:val="24"/>
                <w:szCs w:val="24"/>
              </w:rPr>
              <w:t>2020</w:t>
            </w:r>
          </w:p>
        </w:tc>
        <w:tc>
          <w:tcPr>
            <w:tcW w:w="16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AC259E1" w14:textId="77777777" w:rsidR="00A5722C" w:rsidRPr="008D6F7F" w:rsidRDefault="00A5722C" w:rsidP="006F5F60">
            <w:pPr>
              <w:jc w:val="center"/>
              <w:rPr>
                <w:b/>
                <w:sz w:val="24"/>
                <w:szCs w:val="24"/>
              </w:rPr>
            </w:pPr>
            <w:r w:rsidRPr="008D6F7F">
              <w:rPr>
                <w:b/>
                <w:sz w:val="24"/>
                <w:szCs w:val="24"/>
              </w:rPr>
              <w:t>2021</w:t>
            </w:r>
          </w:p>
        </w:tc>
      </w:tr>
      <w:tr w:rsidR="00A5722C" w:rsidRPr="008D6F7F" w14:paraId="019754A8" w14:textId="77777777" w:rsidTr="00750660">
        <w:tc>
          <w:tcPr>
            <w:tcW w:w="2376"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0B71EAE" w14:textId="77777777" w:rsidR="00A5722C" w:rsidRPr="008D6F7F" w:rsidRDefault="00A5722C" w:rsidP="006F5F60">
            <w:pPr>
              <w:rPr>
                <w:sz w:val="24"/>
                <w:szCs w:val="24"/>
              </w:rPr>
            </w:pPr>
            <w:r w:rsidRPr="008D6F7F">
              <w:rPr>
                <w:sz w:val="24"/>
                <w:szCs w:val="24"/>
              </w:rPr>
              <w:t>A) RESIDUI</w:t>
            </w:r>
          </w:p>
        </w:tc>
        <w:tc>
          <w:tcPr>
            <w:tcW w:w="166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20C27D" w14:textId="77777777" w:rsidR="00A5722C" w:rsidRPr="008D6F7F" w:rsidRDefault="00A5722C" w:rsidP="006F5F60">
            <w:pPr>
              <w:jc w:val="right"/>
              <w:rPr>
                <w:sz w:val="24"/>
                <w:szCs w:val="24"/>
              </w:rPr>
            </w:pPr>
            <w:r w:rsidRPr="008D6F7F">
              <w:rPr>
                <w:sz w:val="24"/>
                <w:szCs w:val="24"/>
              </w:rPr>
              <w:t>10.425.494</w:t>
            </w:r>
          </w:p>
        </w:tc>
        <w:tc>
          <w:tcPr>
            <w:tcW w:w="16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D227FB" w14:textId="77777777" w:rsidR="00A5722C" w:rsidRPr="008D6F7F" w:rsidRDefault="00A5722C" w:rsidP="006F5F60">
            <w:pPr>
              <w:jc w:val="right"/>
              <w:rPr>
                <w:sz w:val="24"/>
                <w:szCs w:val="24"/>
              </w:rPr>
            </w:pPr>
            <w:r w:rsidRPr="008D6F7F">
              <w:rPr>
                <w:sz w:val="24"/>
                <w:szCs w:val="24"/>
              </w:rPr>
              <w:t>9.662.794</w:t>
            </w:r>
          </w:p>
        </w:tc>
        <w:tc>
          <w:tcPr>
            <w:tcW w:w="16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547153" w14:textId="77777777" w:rsidR="00A5722C" w:rsidRPr="008D6F7F" w:rsidRDefault="00A5722C" w:rsidP="006F5F60">
            <w:pPr>
              <w:jc w:val="right"/>
              <w:rPr>
                <w:sz w:val="24"/>
                <w:szCs w:val="24"/>
              </w:rPr>
            </w:pPr>
            <w:r w:rsidRPr="008D6F7F">
              <w:rPr>
                <w:sz w:val="24"/>
                <w:szCs w:val="24"/>
              </w:rPr>
              <w:t>12.009.557</w:t>
            </w:r>
          </w:p>
        </w:tc>
        <w:tc>
          <w:tcPr>
            <w:tcW w:w="16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E8C25EA" w14:textId="77777777" w:rsidR="00A5722C" w:rsidRPr="008D6F7F" w:rsidRDefault="00A5722C" w:rsidP="006F5F60">
            <w:pPr>
              <w:jc w:val="right"/>
              <w:rPr>
                <w:sz w:val="24"/>
                <w:szCs w:val="24"/>
              </w:rPr>
            </w:pPr>
            <w:r w:rsidRPr="008D6F7F">
              <w:rPr>
                <w:sz w:val="24"/>
                <w:szCs w:val="24"/>
              </w:rPr>
              <w:t>16.638.097</w:t>
            </w:r>
          </w:p>
        </w:tc>
      </w:tr>
      <w:tr w:rsidR="00A5722C" w:rsidRPr="008D6F7F" w14:paraId="4D4F23CA" w14:textId="77777777" w:rsidTr="00750660">
        <w:tc>
          <w:tcPr>
            <w:tcW w:w="2376"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59771EC" w14:textId="77777777" w:rsidR="00A5722C" w:rsidRPr="008D6F7F" w:rsidRDefault="00A5722C" w:rsidP="006F5F60">
            <w:pPr>
              <w:rPr>
                <w:sz w:val="24"/>
                <w:szCs w:val="24"/>
              </w:rPr>
            </w:pPr>
            <w:r w:rsidRPr="008D6F7F">
              <w:rPr>
                <w:sz w:val="24"/>
                <w:szCs w:val="24"/>
              </w:rPr>
              <w:t xml:space="preserve">B) INCASSATO </w:t>
            </w:r>
          </w:p>
        </w:tc>
        <w:tc>
          <w:tcPr>
            <w:tcW w:w="166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FA29C0" w14:textId="77777777" w:rsidR="00A5722C" w:rsidRPr="008D6F7F" w:rsidRDefault="00A5722C" w:rsidP="006F5F60">
            <w:pPr>
              <w:jc w:val="right"/>
              <w:rPr>
                <w:sz w:val="24"/>
                <w:szCs w:val="24"/>
              </w:rPr>
            </w:pPr>
            <w:r w:rsidRPr="008D6F7F">
              <w:rPr>
                <w:sz w:val="24"/>
                <w:szCs w:val="24"/>
              </w:rPr>
              <w:t>6.205.210</w:t>
            </w:r>
          </w:p>
        </w:tc>
        <w:tc>
          <w:tcPr>
            <w:tcW w:w="16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12086E0" w14:textId="77777777" w:rsidR="00A5722C" w:rsidRPr="008D6F7F" w:rsidRDefault="00A5722C" w:rsidP="006F5F60">
            <w:pPr>
              <w:jc w:val="right"/>
              <w:rPr>
                <w:sz w:val="24"/>
                <w:szCs w:val="24"/>
              </w:rPr>
            </w:pPr>
            <w:r w:rsidRPr="008D6F7F">
              <w:rPr>
                <w:sz w:val="24"/>
                <w:szCs w:val="24"/>
              </w:rPr>
              <w:t>3.613.584</w:t>
            </w:r>
          </w:p>
        </w:tc>
        <w:tc>
          <w:tcPr>
            <w:tcW w:w="16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7E3128C" w14:textId="77777777" w:rsidR="00A5722C" w:rsidRPr="008D6F7F" w:rsidRDefault="00A5722C" w:rsidP="006F5F60">
            <w:pPr>
              <w:jc w:val="right"/>
              <w:rPr>
                <w:sz w:val="24"/>
                <w:szCs w:val="24"/>
              </w:rPr>
            </w:pPr>
            <w:r w:rsidRPr="008D6F7F">
              <w:rPr>
                <w:sz w:val="24"/>
                <w:szCs w:val="24"/>
              </w:rPr>
              <w:t>4.398.579</w:t>
            </w:r>
          </w:p>
        </w:tc>
        <w:tc>
          <w:tcPr>
            <w:tcW w:w="16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4B5029" w14:textId="77777777" w:rsidR="00A5722C" w:rsidRPr="008D6F7F" w:rsidRDefault="00A5722C" w:rsidP="006F5F60">
            <w:pPr>
              <w:jc w:val="right"/>
              <w:rPr>
                <w:sz w:val="24"/>
                <w:szCs w:val="24"/>
              </w:rPr>
            </w:pPr>
            <w:r w:rsidRPr="008D6F7F">
              <w:rPr>
                <w:sz w:val="24"/>
                <w:szCs w:val="24"/>
              </w:rPr>
              <w:t>9.139.725</w:t>
            </w:r>
          </w:p>
        </w:tc>
      </w:tr>
      <w:tr w:rsidR="00A5722C" w:rsidRPr="008D6F7F" w14:paraId="0C8FC46B" w14:textId="77777777" w:rsidTr="00750660">
        <w:tc>
          <w:tcPr>
            <w:tcW w:w="2376"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01CCFA0" w14:textId="77777777" w:rsidR="00A5722C" w:rsidRPr="008D6F7F" w:rsidRDefault="00A5722C" w:rsidP="006F5F60">
            <w:pPr>
              <w:rPr>
                <w:sz w:val="24"/>
                <w:szCs w:val="24"/>
              </w:rPr>
            </w:pPr>
          </w:p>
        </w:tc>
        <w:tc>
          <w:tcPr>
            <w:tcW w:w="166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5625C3" w14:textId="77777777" w:rsidR="00A5722C" w:rsidRPr="008D6F7F" w:rsidRDefault="00A5722C" w:rsidP="006F5F60">
            <w:pPr>
              <w:jc w:val="right"/>
              <w:rPr>
                <w:sz w:val="24"/>
                <w:szCs w:val="24"/>
              </w:rPr>
            </w:pPr>
          </w:p>
        </w:tc>
        <w:tc>
          <w:tcPr>
            <w:tcW w:w="16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F36E67" w14:textId="77777777" w:rsidR="00A5722C" w:rsidRPr="008D6F7F" w:rsidRDefault="00A5722C" w:rsidP="006F5F60">
            <w:pPr>
              <w:jc w:val="right"/>
              <w:rPr>
                <w:sz w:val="24"/>
                <w:szCs w:val="24"/>
              </w:rPr>
            </w:pPr>
          </w:p>
        </w:tc>
        <w:tc>
          <w:tcPr>
            <w:tcW w:w="16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DF209D" w14:textId="77777777" w:rsidR="00A5722C" w:rsidRPr="008D6F7F" w:rsidRDefault="00A5722C" w:rsidP="006F5F60">
            <w:pPr>
              <w:jc w:val="right"/>
              <w:rPr>
                <w:sz w:val="24"/>
                <w:szCs w:val="24"/>
              </w:rPr>
            </w:pPr>
          </w:p>
        </w:tc>
        <w:tc>
          <w:tcPr>
            <w:tcW w:w="16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2F2ED8C" w14:textId="77777777" w:rsidR="00A5722C" w:rsidRPr="008D6F7F" w:rsidRDefault="00A5722C" w:rsidP="006F5F60">
            <w:pPr>
              <w:jc w:val="right"/>
              <w:rPr>
                <w:sz w:val="24"/>
                <w:szCs w:val="24"/>
              </w:rPr>
            </w:pPr>
          </w:p>
        </w:tc>
      </w:tr>
      <w:tr w:rsidR="00A5722C" w:rsidRPr="008D6F7F" w14:paraId="4DC9160E" w14:textId="77777777" w:rsidTr="00750660">
        <w:tc>
          <w:tcPr>
            <w:tcW w:w="2376"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26EE4F6" w14:textId="77777777" w:rsidR="00A5722C" w:rsidRPr="008D6F7F" w:rsidRDefault="00A5722C" w:rsidP="006F5F60">
            <w:pPr>
              <w:rPr>
                <w:sz w:val="24"/>
                <w:szCs w:val="24"/>
              </w:rPr>
            </w:pPr>
            <w:r w:rsidRPr="008D6F7F">
              <w:rPr>
                <w:sz w:val="24"/>
                <w:szCs w:val="24"/>
              </w:rPr>
              <w:t>RAPPORTO B/A</w:t>
            </w:r>
          </w:p>
        </w:tc>
        <w:tc>
          <w:tcPr>
            <w:tcW w:w="166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526BA9" w14:textId="77777777" w:rsidR="00A5722C" w:rsidRPr="008D6F7F" w:rsidRDefault="00A5722C" w:rsidP="006F5F60">
            <w:pPr>
              <w:jc w:val="right"/>
              <w:rPr>
                <w:sz w:val="24"/>
                <w:szCs w:val="24"/>
              </w:rPr>
            </w:pPr>
            <w:r w:rsidRPr="008D6F7F">
              <w:rPr>
                <w:sz w:val="24"/>
                <w:szCs w:val="24"/>
              </w:rPr>
              <w:t>59,52%</w:t>
            </w:r>
          </w:p>
        </w:tc>
        <w:tc>
          <w:tcPr>
            <w:tcW w:w="16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F91860" w14:textId="77777777" w:rsidR="00A5722C" w:rsidRPr="008D6F7F" w:rsidRDefault="00A5722C" w:rsidP="006F5F60">
            <w:pPr>
              <w:jc w:val="right"/>
              <w:rPr>
                <w:sz w:val="24"/>
                <w:szCs w:val="24"/>
              </w:rPr>
            </w:pPr>
            <w:r w:rsidRPr="008D6F7F">
              <w:rPr>
                <w:sz w:val="24"/>
                <w:szCs w:val="24"/>
              </w:rPr>
              <w:t>37,40%</w:t>
            </w:r>
          </w:p>
        </w:tc>
        <w:tc>
          <w:tcPr>
            <w:tcW w:w="16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28ED85" w14:textId="77777777" w:rsidR="00A5722C" w:rsidRPr="008D6F7F" w:rsidRDefault="00A5722C" w:rsidP="006F5F60">
            <w:pPr>
              <w:jc w:val="right"/>
              <w:rPr>
                <w:sz w:val="24"/>
                <w:szCs w:val="24"/>
              </w:rPr>
            </w:pPr>
            <w:r w:rsidRPr="008D6F7F">
              <w:rPr>
                <w:sz w:val="24"/>
                <w:szCs w:val="24"/>
              </w:rPr>
              <w:t>36,63%</w:t>
            </w:r>
          </w:p>
        </w:tc>
        <w:tc>
          <w:tcPr>
            <w:tcW w:w="16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2CEE91" w14:textId="77777777" w:rsidR="00A5722C" w:rsidRPr="008D6F7F" w:rsidRDefault="00A5722C" w:rsidP="006F5F60">
            <w:pPr>
              <w:jc w:val="right"/>
              <w:rPr>
                <w:sz w:val="24"/>
                <w:szCs w:val="24"/>
              </w:rPr>
            </w:pPr>
            <w:r w:rsidRPr="008D6F7F">
              <w:rPr>
                <w:sz w:val="24"/>
                <w:szCs w:val="24"/>
              </w:rPr>
              <w:t>54,93%</w:t>
            </w:r>
          </w:p>
        </w:tc>
      </w:tr>
    </w:tbl>
    <w:p w14:paraId="5B6ACAC8" w14:textId="4982F8E6" w:rsidR="00A5722C" w:rsidRDefault="007D364F" w:rsidP="00782261">
      <w:pPr>
        <w:jc w:val="both"/>
      </w:pPr>
      <w:r>
        <w:rPr>
          <w:noProof/>
          <w:lang w:eastAsia="it-IT"/>
        </w:rPr>
        <mc:AlternateContent>
          <mc:Choice Requires="wps">
            <w:drawing>
              <wp:anchor distT="0" distB="0" distL="114300" distR="114300" simplePos="0" relativeHeight="251696128" behindDoc="0" locked="0" layoutInCell="1" allowOverlap="1" wp14:anchorId="409362BA" wp14:editId="1C34F6F1">
                <wp:simplePos x="0" y="0"/>
                <wp:positionH relativeFrom="margin">
                  <wp:posOffset>0</wp:posOffset>
                </wp:positionH>
                <wp:positionV relativeFrom="paragraph">
                  <wp:posOffset>-14444</wp:posOffset>
                </wp:positionV>
                <wp:extent cx="5745392" cy="253365"/>
                <wp:effectExtent l="0" t="0" r="27305" b="13335"/>
                <wp:wrapNone/>
                <wp:docPr id="25" name="Casella di testo 25"/>
                <wp:cNvGraphicFramePr/>
                <a:graphic xmlns:a="http://schemas.openxmlformats.org/drawingml/2006/main">
                  <a:graphicData uri="http://schemas.microsoft.com/office/word/2010/wordprocessingShape">
                    <wps:wsp>
                      <wps:cNvSpPr txBox="1"/>
                      <wps:spPr>
                        <a:xfrm>
                          <a:off x="0" y="0"/>
                          <a:ext cx="5745392" cy="25336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13C107D" w14:textId="311F650F" w:rsidR="007D364F" w:rsidRPr="00A549AF" w:rsidRDefault="007D364F" w:rsidP="007D364F">
                            <w:pPr>
                              <w:rPr>
                                <w:sz w:val="16"/>
                                <w:szCs w:val="16"/>
                              </w:rPr>
                            </w:pPr>
                            <w:r>
                              <w:rPr>
                                <w:sz w:val="16"/>
                                <w:szCs w:val="16"/>
                              </w:rPr>
                              <w:t>Tab. 1</w:t>
                            </w:r>
                            <w:r w:rsidR="00B51AFE">
                              <w:rPr>
                                <w:sz w:val="16"/>
                                <w:szCs w:val="16"/>
                              </w:rPr>
                              <w:t>5</w:t>
                            </w:r>
                            <w:r>
                              <w:rPr>
                                <w:sz w:val="16"/>
                                <w:szCs w:val="16"/>
                              </w:rPr>
                              <w:t xml:space="preserve">: </w:t>
                            </w:r>
                            <w:r w:rsidRPr="007D364F">
                              <w:rPr>
                                <w:sz w:val="16"/>
                                <w:szCs w:val="16"/>
                              </w:rPr>
                              <w:t xml:space="preserve">risultati della riscossione delle entrate a residuo </w:t>
                            </w:r>
                            <w:r>
                              <w:rPr>
                                <w:sz w:val="16"/>
                                <w:szCs w:val="16"/>
                              </w:rPr>
                              <w:t>nel 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409362BA" id="Casella di testo 25" o:spid="_x0000_s1039" type="#_x0000_t202" style="position:absolute;left:0;text-align:left;margin-left:0;margin-top:-1.15pt;width:452.4pt;height:19.95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" fillcolor="white [3201]" strokeweight=".5pt">
                <v:textbox>
                  <w:txbxContent>
                    <w:p w14:paraId="613C107D" w14:textId="311F650F" w:rsidR="007D364F" w:rsidRPr="00A549AF" w:rsidRDefault="007D364F" w:rsidP="007D364F">
                      <w:pPr>
                        <w:rPr>
                          <w:sz w:val="16"/>
                          <w:szCs w:val="16"/>
                        </w:rPr>
                      </w:pPr>
                      <w:r>
                        <w:rPr>
                          <w:sz w:val="16"/>
                          <w:szCs w:val="16"/>
                        </w:rPr>
                        <w:t>Tab. 1</w:t>
                      </w:r>
                      <w:r w:rsidR="00B51AFE">
                        <w:rPr>
                          <w:sz w:val="16"/>
                          <w:szCs w:val="16"/>
                        </w:rPr>
                        <w:t>5</w:t>
                      </w:r>
                      <w:r>
                        <w:rPr>
                          <w:sz w:val="16"/>
                          <w:szCs w:val="16"/>
                        </w:rPr>
                        <w:t xml:space="preserve">: </w:t>
                      </w:r>
                      <w:r w:rsidRPr="007D364F">
                        <w:rPr>
                          <w:sz w:val="16"/>
                          <w:szCs w:val="16"/>
                        </w:rPr>
                        <w:t xml:space="preserve">risultati della riscossione delle entrate a residuo </w:t>
                      </w:r>
                      <w:r>
                        <w:rPr>
                          <w:sz w:val="16"/>
                          <w:szCs w:val="16"/>
                        </w:rPr>
                        <w:t>nel 2021</w:t>
                      </w:r>
                    </w:p>
                  </w:txbxContent>
                </v:textbox>
                <w10:wrap anchorx="margin"/>
              </v:shape>
            </w:pict>
          </mc:Fallback>
        </mc:AlternateContent>
      </w:r>
    </w:p>
    <w:p w14:paraId="531C7613" w14:textId="05EA8F95" w:rsidR="00440A5B" w:rsidRDefault="00440A5B" w:rsidP="00782261">
      <w:pPr>
        <w:jc w:val="both"/>
      </w:pPr>
    </w:p>
    <w:p w14:paraId="12930CAA" w14:textId="2E599ED0" w:rsidR="00440A5B" w:rsidRDefault="00440A5B" w:rsidP="00782261">
      <w:pPr>
        <w:jc w:val="both"/>
      </w:pPr>
    </w:p>
    <w:p w14:paraId="3F2E6F39" w14:textId="40AEEE0D" w:rsidR="00440A5B" w:rsidRDefault="00440A5B" w:rsidP="00782261">
      <w:pPr>
        <w:jc w:val="both"/>
      </w:pPr>
    </w:p>
    <w:p w14:paraId="11EF3D52" w14:textId="2210290A" w:rsidR="00701CAA" w:rsidRDefault="00701CAA" w:rsidP="00782261">
      <w:pPr>
        <w:jc w:val="both"/>
      </w:pPr>
    </w:p>
    <w:p w14:paraId="61032B97" w14:textId="51AC1A38" w:rsidR="00701CAA" w:rsidRDefault="00701CAA" w:rsidP="00782261">
      <w:pPr>
        <w:jc w:val="both"/>
      </w:pPr>
    </w:p>
    <w:p w14:paraId="5276B26E" w14:textId="2EA808DE" w:rsidR="00701CAA" w:rsidRDefault="00701CAA" w:rsidP="00782261">
      <w:pPr>
        <w:jc w:val="both"/>
      </w:pPr>
    </w:p>
    <w:p w14:paraId="7F68FD7E" w14:textId="79D1CA99" w:rsidR="00701CAA" w:rsidRDefault="00701CAA" w:rsidP="00782261">
      <w:pPr>
        <w:jc w:val="both"/>
      </w:pPr>
    </w:p>
    <w:p w14:paraId="00564B4B" w14:textId="09932B88" w:rsidR="00701CAA" w:rsidRDefault="00701CAA" w:rsidP="00782261">
      <w:pPr>
        <w:jc w:val="both"/>
      </w:pPr>
    </w:p>
    <w:p w14:paraId="6DF9A51F" w14:textId="1D407EA1" w:rsidR="00701CAA" w:rsidRDefault="00701CAA" w:rsidP="00782261">
      <w:pPr>
        <w:jc w:val="both"/>
      </w:pPr>
    </w:p>
    <w:p w14:paraId="4E46B217" w14:textId="092B00C3" w:rsidR="00701CAA" w:rsidRDefault="00701CAA" w:rsidP="00782261">
      <w:pPr>
        <w:jc w:val="both"/>
      </w:pPr>
    </w:p>
    <w:p w14:paraId="51C8FB9A" w14:textId="266916B8" w:rsidR="00701CAA" w:rsidRDefault="00701CAA" w:rsidP="00782261">
      <w:pPr>
        <w:jc w:val="both"/>
      </w:pPr>
    </w:p>
    <w:p w14:paraId="2899472B" w14:textId="1B4C0A8D" w:rsidR="00701CAA" w:rsidRDefault="00701CAA" w:rsidP="00782261">
      <w:pPr>
        <w:jc w:val="both"/>
      </w:pPr>
    </w:p>
    <w:p w14:paraId="4F3D731A" w14:textId="037588E9" w:rsidR="00701CAA" w:rsidRDefault="00701CAA" w:rsidP="00782261">
      <w:pPr>
        <w:jc w:val="both"/>
      </w:pPr>
    </w:p>
    <w:p w14:paraId="4F120BAA" w14:textId="02565B5E" w:rsidR="00701CAA" w:rsidRDefault="00701CAA" w:rsidP="00782261">
      <w:pPr>
        <w:jc w:val="both"/>
      </w:pPr>
    </w:p>
    <w:p w14:paraId="45FBDA1F" w14:textId="69EBC136" w:rsidR="00701CAA" w:rsidRDefault="00701CAA" w:rsidP="00782261">
      <w:pPr>
        <w:jc w:val="both"/>
      </w:pPr>
    </w:p>
    <w:p w14:paraId="14601F51" w14:textId="469E3314" w:rsidR="00701CAA" w:rsidRDefault="00701CAA" w:rsidP="00782261">
      <w:pPr>
        <w:jc w:val="both"/>
      </w:pPr>
    </w:p>
    <w:p w14:paraId="3E1A5923" w14:textId="13DA6983" w:rsidR="00701CAA" w:rsidRDefault="00701CAA" w:rsidP="00782261">
      <w:pPr>
        <w:jc w:val="both"/>
      </w:pPr>
    </w:p>
    <w:p w14:paraId="3D0E793E" w14:textId="6F4E1145" w:rsidR="00701CAA" w:rsidRDefault="00701CAA" w:rsidP="00782261">
      <w:pPr>
        <w:jc w:val="both"/>
      </w:pPr>
    </w:p>
    <w:p w14:paraId="20F9646D" w14:textId="1A8E73DB" w:rsidR="00701CAA" w:rsidRDefault="00701CAA" w:rsidP="00782261">
      <w:pPr>
        <w:jc w:val="both"/>
      </w:pPr>
    </w:p>
    <w:p w14:paraId="65FF4C42" w14:textId="0E1D668F" w:rsidR="00701CAA" w:rsidRDefault="00701CAA" w:rsidP="00782261">
      <w:pPr>
        <w:jc w:val="both"/>
      </w:pPr>
    </w:p>
    <w:p w14:paraId="18F4229D" w14:textId="68E0B062" w:rsidR="00701CAA" w:rsidRDefault="00701CAA" w:rsidP="00782261">
      <w:pPr>
        <w:jc w:val="both"/>
      </w:pPr>
    </w:p>
    <w:p w14:paraId="0EDB8728" w14:textId="16DCBE0F" w:rsidR="00701CAA" w:rsidRDefault="00701CAA" w:rsidP="00782261">
      <w:pPr>
        <w:jc w:val="both"/>
      </w:pPr>
    </w:p>
    <w:p w14:paraId="400233BD" w14:textId="44E6F201" w:rsidR="00701CAA" w:rsidRPr="00F8380B" w:rsidRDefault="00701CAA" w:rsidP="002D4276">
      <w:pPr>
        <w:pStyle w:val="Titolo1"/>
        <w:numPr>
          <w:ilvl w:val="0"/>
          <w:numId w:val="9"/>
        </w:numPr>
        <w:rPr>
          <w:b/>
          <w:bCs/>
        </w:rPr>
      </w:pPr>
      <w:bookmarkStart w:id="27" w:name="_Toc103881194"/>
      <w:r w:rsidRPr="00F8380B">
        <w:rPr>
          <w:b/>
          <w:bCs/>
        </w:rPr>
        <w:lastRenderedPageBreak/>
        <w:t>Tasse portuali</w:t>
      </w:r>
      <w:bookmarkEnd w:id="27"/>
    </w:p>
    <w:p w14:paraId="2F87A078" w14:textId="4D786760" w:rsidR="00701CAA" w:rsidRPr="00701CAA" w:rsidRDefault="00701CAA" w:rsidP="002D4276">
      <w:pPr>
        <w:pStyle w:val="Titolo2"/>
        <w:numPr>
          <w:ilvl w:val="1"/>
          <w:numId w:val="9"/>
        </w:numPr>
        <w:rPr>
          <w:u w:val="single"/>
        </w:rPr>
      </w:pPr>
      <w:bookmarkStart w:id="28" w:name="_Toc103881195"/>
      <w:r w:rsidRPr="00701CAA">
        <w:rPr>
          <w:u w:val="single"/>
        </w:rPr>
        <w:t>Compilazione dell’allegata tabella sulle entrate per tasse distinte tra tassa d’ancoraggio, tassa portuale e altre tasse o addizionali.</w:t>
      </w:r>
      <w:bookmarkEnd w:id="28"/>
    </w:p>
    <w:p w14:paraId="30BAFD4F" w14:textId="0123E806" w:rsidR="00701CAA" w:rsidRDefault="00701CAA" w:rsidP="00701CAA">
      <w:pPr>
        <w:jc w:val="both"/>
      </w:pPr>
      <w:r>
        <w:t>Vedasi tabella allegata</w:t>
      </w:r>
    </w:p>
    <w:p w14:paraId="2F1B1D15" w14:textId="3E378339" w:rsidR="00701CAA" w:rsidRDefault="00701CAA" w:rsidP="00782261">
      <w:pPr>
        <w:jc w:val="both"/>
      </w:pPr>
    </w:p>
    <w:p w14:paraId="72B1FE51" w14:textId="77777777" w:rsidR="00701CAA" w:rsidRDefault="00701CAA" w:rsidP="00782261">
      <w:pPr>
        <w:jc w:val="both"/>
      </w:pPr>
    </w:p>
    <w:p w14:paraId="5372042B" w14:textId="5816C6F4" w:rsidR="00440A5B" w:rsidRDefault="00440A5B" w:rsidP="00782261">
      <w:pPr>
        <w:jc w:val="both"/>
      </w:pPr>
    </w:p>
    <w:p w14:paraId="7CDB569A" w14:textId="05965B98" w:rsidR="00440A5B" w:rsidRDefault="00440A5B" w:rsidP="00782261">
      <w:pPr>
        <w:jc w:val="both"/>
      </w:pPr>
    </w:p>
    <w:p w14:paraId="74447D41" w14:textId="028618CF" w:rsidR="00440A5B" w:rsidRDefault="00440A5B" w:rsidP="00782261">
      <w:pPr>
        <w:jc w:val="both"/>
      </w:pPr>
    </w:p>
    <w:p w14:paraId="6D7269C7" w14:textId="5950FA6B" w:rsidR="00440A5B" w:rsidRDefault="00440A5B" w:rsidP="00782261">
      <w:pPr>
        <w:jc w:val="both"/>
      </w:pPr>
    </w:p>
    <w:p w14:paraId="12A3C6D9" w14:textId="30101C7E" w:rsidR="00440A5B" w:rsidRDefault="00440A5B" w:rsidP="00782261">
      <w:pPr>
        <w:jc w:val="both"/>
      </w:pPr>
    </w:p>
    <w:p w14:paraId="7521E74F" w14:textId="30B3C43A" w:rsidR="00440A5B" w:rsidRDefault="00440A5B" w:rsidP="00782261">
      <w:pPr>
        <w:jc w:val="both"/>
      </w:pPr>
    </w:p>
    <w:p w14:paraId="7B7BA8BA" w14:textId="5204E899" w:rsidR="00440A5B" w:rsidRDefault="00440A5B" w:rsidP="00782261">
      <w:pPr>
        <w:jc w:val="both"/>
      </w:pPr>
    </w:p>
    <w:p w14:paraId="215C0755" w14:textId="629201DF" w:rsidR="00440A5B" w:rsidRDefault="00440A5B" w:rsidP="00782261">
      <w:pPr>
        <w:jc w:val="both"/>
      </w:pPr>
    </w:p>
    <w:p w14:paraId="165EB87B" w14:textId="4AD812CF" w:rsidR="00440A5B" w:rsidRDefault="00440A5B" w:rsidP="00782261">
      <w:pPr>
        <w:jc w:val="both"/>
      </w:pPr>
    </w:p>
    <w:p w14:paraId="5E567E04" w14:textId="372D5218" w:rsidR="00440A5B" w:rsidRDefault="00440A5B" w:rsidP="00782261">
      <w:pPr>
        <w:jc w:val="both"/>
      </w:pPr>
    </w:p>
    <w:p w14:paraId="60B3391C" w14:textId="56A2D192" w:rsidR="00440A5B" w:rsidRDefault="00440A5B" w:rsidP="00782261">
      <w:pPr>
        <w:jc w:val="both"/>
      </w:pPr>
    </w:p>
    <w:p w14:paraId="3F4EA52E" w14:textId="4723B911" w:rsidR="00440A5B" w:rsidRDefault="00440A5B" w:rsidP="00782261">
      <w:pPr>
        <w:jc w:val="both"/>
      </w:pPr>
    </w:p>
    <w:p w14:paraId="407F9578" w14:textId="799603B1" w:rsidR="00440A5B" w:rsidRDefault="00440A5B" w:rsidP="00782261">
      <w:pPr>
        <w:jc w:val="both"/>
      </w:pPr>
    </w:p>
    <w:p w14:paraId="0B189B1C" w14:textId="4A0333C0" w:rsidR="00440A5B" w:rsidRDefault="00440A5B" w:rsidP="00782261">
      <w:pPr>
        <w:jc w:val="both"/>
      </w:pPr>
    </w:p>
    <w:p w14:paraId="77E51786" w14:textId="2AC47A86" w:rsidR="00440A5B" w:rsidRDefault="00440A5B" w:rsidP="00782261">
      <w:pPr>
        <w:jc w:val="both"/>
      </w:pPr>
    </w:p>
    <w:p w14:paraId="4E9D307C" w14:textId="77777777" w:rsidR="00440A5B" w:rsidRDefault="00440A5B" w:rsidP="00782261">
      <w:pPr>
        <w:jc w:val="both"/>
      </w:pPr>
    </w:p>
    <w:p w14:paraId="7923B2CA" w14:textId="55D1B7D2" w:rsidR="001F5B56" w:rsidRDefault="001F5B56" w:rsidP="00782261">
      <w:pPr>
        <w:jc w:val="both"/>
      </w:pPr>
    </w:p>
    <w:p w14:paraId="2BFD1A11" w14:textId="77777777" w:rsidR="001F5B56" w:rsidRDefault="001F5B56" w:rsidP="00782261">
      <w:pPr>
        <w:jc w:val="both"/>
      </w:pPr>
    </w:p>
    <w:p w14:paraId="2C9CB245" w14:textId="126FD297" w:rsidR="001F5B56" w:rsidRDefault="001F5B56" w:rsidP="00782261">
      <w:pPr>
        <w:jc w:val="both"/>
      </w:pPr>
    </w:p>
    <w:p w14:paraId="66EEB64E" w14:textId="6ED4CB2A" w:rsidR="001F5B56" w:rsidRDefault="001F5B56" w:rsidP="00782261">
      <w:pPr>
        <w:jc w:val="both"/>
      </w:pPr>
    </w:p>
    <w:p w14:paraId="7482FB9F" w14:textId="77777777" w:rsidR="001F5B56" w:rsidRDefault="001F5B56" w:rsidP="00782261">
      <w:pPr>
        <w:jc w:val="both"/>
      </w:pPr>
    </w:p>
    <w:p w14:paraId="5234B2F9" w14:textId="4AC2DF4F" w:rsidR="00782261" w:rsidRDefault="00782261" w:rsidP="00782261">
      <w:pPr>
        <w:jc w:val="both"/>
      </w:pPr>
    </w:p>
    <w:p w14:paraId="30FDC646" w14:textId="12AC267A" w:rsidR="00782261" w:rsidRDefault="00782261" w:rsidP="00782261">
      <w:pPr>
        <w:jc w:val="both"/>
      </w:pPr>
    </w:p>
    <w:p w14:paraId="714CCEE3" w14:textId="77777777" w:rsidR="00782261" w:rsidRDefault="00782261" w:rsidP="00782261">
      <w:pPr>
        <w:jc w:val="both"/>
      </w:pPr>
    </w:p>
    <w:sectPr w:rsidR="00782261" w:rsidSect="003C286C">
      <w:pgSz w:w="11906" w:h="16838"/>
      <w:pgMar w:top="1417" w:right="1134" w:bottom="1134" w:left="1134"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939263" w14:textId="77777777" w:rsidR="00940538" w:rsidRDefault="00940538" w:rsidP="00474AC0">
      <w:pPr>
        <w:spacing w:after="0" w:line="240" w:lineRule="auto"/>
      </w:pPr>
      <w:r>
        <w:separator/>
      </w:r>
    </w:p>
  </w:endnote>
  <w:endnote w:type="continuationSeparator" w:id="0">
    <w:p w14:paraId="33B9E997" w14:textId="77777777" w:rsidR="00940538" w:rsidRDefault="00940538" w:rsidP="00474A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8637350"/>
      <w:docPartObj>
        <w:docPartGallery w:val="Page Numbers (Bottom of Page)"/>
        <w:docPartUnique/>
      </w:docPartObj>
    </w:sdtPr>
    <w:sdtEndPr/>
    <w:sdtContent>
      <w:p w14:paraId="557F49D7" w14:textId="3C365039" w:rsidR="007D364F" w:rsidRDefault="007D364F">
        <w:pPr>
          <w:pStyle w:val="Pidipagina"/>
          <w:jc w:val="right"/>
        </w:pPr>
        <w:r>
          <w:fldChar w:fldCharType="begin"/>
        </w:r>
        <w:r>
          <w:instrText>PAGE   \* MERGEFORMAT</w:instrText>
        </w:r>
        <w:r>
          <w:fldChar w:fldCharType="separate"/>
        </w:r>
        <w:r w:rsidR="00177D78">
          <w:rPr>
            <w:noProof/>
          </w:rPr>
          <w:t>1</w:t>
        </w:r>
        <w:r>
          <w:fldChar w:fldCharType="end"/>
        </w:r>
      </w:p>
    </w:sdtContent>
  </w:sdt>
  <w:p w14:paraId="2BCC5A35" w14:textId="77777777" w:rsidR="00786640" w:rsidRDefault="00786640">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92846916"/>
      <w:docPartObj>
        <w:docPartGallery w:val="Page Numbers (Bottom of Page)"/>
        <w:docPartUnique/>
      </w:docPartObj>
    </w:sdtPr>
    <w:sdtEndPr/>
    <w:sdtContent>
      <w:p w14:paraId="10B0E139" w14:textId="2ABD7793" w:rsidR="003906AF" w:rsidRDefault="003906AF">
        <w:pPr>
          <w:pStyle w:val="Pidipagina"/>
          <w:jc w:val="right"/>
        </w:pPr>
        <w:r>
          <w:fldChar w:fldCharType="begin"/>
        </w:r>
        <w:r>
          <w:instrText>PAGE   \* MERGEFORMAT</w:instrText>
        </w:r>
        <w:r>
          <w:fldChar w:fldCharType="separate"/>
        </w:r>
        <w:r w:rsidR="00177D78">
          <w:rPr>
            <w:noProof/>
          </w:rPr>
          <w:t>0</w:t>
        </w:r>
        <w:r>
          <w:fldChar w:fldCharType="end"/>
        </w:r>
      </w:p>
    </w:sdtContent>
  </w:sdt>
  <w:p w14:paraId="51C068B1" w14:textId="77777777" w:rsidR="00786640" w:rsidRDefault="00786640">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96C321" w14:textId="77777777" w:rsidR="00940538" w:rsidRDefault="00940538" w:rsidP="00474AC0">
      <w:pPr>
        <w:spacing w:after="0" w:line="240" w:lineRule="auto"/>
      </w:pPr>
      <w:r>
        <w:separator/>
      </w:r>
    </w:p>
  </w:footnote>
  <w:footnote w:type="continuationSeparator" w:id="0">
    <w:p w14:paraId="1373D9A6" w14:textId="77777777" w:rsidR="00940538" w:rsidRDefault="00940538" w:rsidP="00474AC0">
      <w:pPr>
        <w:spacing w:after="0" w:line="240" w:lineRule="auto"/>
      </w:pPr>
      <w:r>
        <w:continuationSeparator/>
      </w:r>
    </w:p>
  </w:footnote>
  <w:footnote w:id="1">
    <w:p w14:paraId="2407B3D7" w14:textId="782BF7A2" w:rsidR="00786640" w:rsidRDefault="00786640" w:rsidP="007961F3">
      <w:pPr>
        <w:pStyle w:val="Testonotaapidipagina"/>
      </w:pPr>
      <w:r>
        <w:rPr>
          <w:rStyle w:val="Rimandonotaapidipagina"/>
        </w:rPr>
        <w:footnoteRef/>
      </w:r>
      <w:r>
        <w:t xml:space="preserve"> </w:t>
      </w:r>
      <w:r w:rsidRPr="00627656">
        <w:rPr>
          <w:sz w:val="18"/>
          <w:szCs w:val="24"/>
        </w:rPr>
        <w:t>partecipazione diretta ed indiretta tramite APV Investimenti S.p.A</w:t>
      </w:r>
    </w:p>
  </w:footnote>
  <w:footnote w:id="2">
    <w:p w14:paraId="568B0F81" w14:textId="77777777" w:rsidR="00786640" w:rsidRDefault="00786640" w:rsidP="007961F3">
      <w:pPr>
        <w:pStyle w:val="Testonotaapidipagina"/>
      </w:pPr>
      <w:r>
        <w:rPr>
          <w:rStyle w:val="Rimandonotaapidipagina"/>
        </w:rPr>
        <w:footnoteRef/>
      </w:r>
      <w:r>
        <w:t xml:space="preserve"> </w:t>
      </w:r>
      <w:r w:rsidRPr="00627656">
        <w:rPr>
          <w:sz w:val="18"/>
        </w:rPr>
        <w:t>Società in-house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4CEC38" w14:textId="71C1AD01" w:rsidR="00786640" w:rsidRDefault="00786640">
    <w:pPr>
      <w:pStyle w:val="Intestazione"/>
    </w:pPr>
    <w:r>
      <w:rPr>
        <w:noProof/>
        <w:lang w:eastAsia="it-IT"/>
      </w:rPr>
      <mc:AlternateContent>
        <mc:Choice Requires="wps">
          <w:drawing>
            <wp:anchor distT="0" distB="0" distL="118745" distR="118745" simplePos="0" relativeHeight="251659264" behindDoc="1" locked="0" layoutInCell="1" allowOverlap="0" wp14:anchorId="2E16F873" wp14:editId="4CFF8804">
              <wp:simplePos x="0" y="0"/>
              <wp:positionH relativeFrom="page">
                <wp:align>left</wp:align>
              </wp:positionH>
              <wp:positionV relativeFrom="page">
                <wp:posOffset>484505</wp:posOffset>
              </wp:positionV>
              <wp:extent cx="7529885" cy="269875"/>
              <wp:effectExtent l="0" t="0" r="0" b="0"/>
              <wp:wrapSquare wrapText="bothSides"/>
              <wp:docPr id="197" name="Rettangolo 197"/>
              <wp:cNvGraphicFramePr/>
              <a:graphic xmlns:a="http://schemas.openxmlformats.org/drawingml/2006/main">
                <a:graphicData uri="http://schemas.microsoft.com/office/word/2010/wordprocessingShape">
                  <wps:wsp>
                    <wps:cNvSpPr/>
                    <wps:spPr>
                      <a:xfrm>
                        <a:off x="0" y="0"/>
                        <a:ext cx="7529885" cy="26987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olo"/>
                            <w:tag w:val=""/>
                            <w:id w:val="299735420"/>
                            <w:dataBinding w:prefixMappings="xmlns:ns0='http://purl.org/dc/elements/1.1/' xmlns:ns1='http://schemas.openxmlformats.org/package/2006/metadata/core-properties' " w:xpath="/ns1:coreProperties[1]/ns0:title[1]" w:storeItemID="{6C3C8BC8-F283-45AE-878A-BAB7291924A1}"/>
                            <w:text/>
                          </w:sdtPr>
                          <w:sdtEndPr/>
                          <w:sdtContent>
                            <w:p w14:paraId="0B70643A" w14:textId="6EE81FEB" w:rsidR="00786640" w:rsidRDefault="00786640" w:rsidP="00DE73AC">
                              <w:pPr>
                                <w:pStyle w:val="Intestazione"/>
                                <w:jc w:val="right"/>
                                <w:rPr>
                                  <w:caps/>
                                  <w:color w:val="FFFFFF" w:themeColor="background1"/>
                                </w:rPr>
                              </w:pPr>
                              <w:r>
                                <w:rPr>
                                  <w:caps/>
                                  <w:color w:val="FFFFFF" w:themeColor="background1"/>
                                </w:rPr>
                                <w:t>Relazione Annuale per l’anno 2021</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2700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2E16F873" id="Rettangolo 197" o:spid="_x0000_s1040" style="position:absolute;margin-left:0;margin-top:38.15pt;width:592.9pt;height:21.25pt;z-index:-251657216;visibility:visible;mso-wrap-style:square;mso-width-percent:0;mso-height-percent:27;mso-wrap-distance-left:9.35pt;mso-wrap-distance-top:0;mso-wrap-distance-right:9.35pt;mso-wrap-distance-bottom:0;mso-position-horizontal:left;mso-position-horizontal-relative:page;mso-position-vertical:absolute;mso-position-vertical-relative:page;mso-width-percent:0;mso-height-percent:27;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" o:allowoverlap="f" fillcolor="#5b9bd5 [3204]" stroked="f" strokeweight="1pt">
              <v:textbox>
                <w:txbxContent>
                  <w:sdt>
                    <w:sdtPr>
                      <w:rPr>
                        <w:caps/>
                        <w:color w:val="FFFFFF" w:themeColor="background1"/>
                      </w:rPr>
                      <w:alias w:val="Titolo"/>
                      <w:tag w:val=""/>
                      <w:id w:val="299735420"/>
                      <w:dataBinding w:prefixMappings="xmlns:ns0='http://purl.org/dc/elements/1.1/' xmlns:ns1='http://schemas.openxmlformats.org/package/2006/metadata/core-properties' " w:xpath="/ns1:coreProperties[1]/ns0:title[1]" w:storeItemID="{6C3C8BC8-F283-45AE-878A-BAB7291924A1}"/>
                      <w:text/>
                    </w:sdtPr>
                    <w:sdtEndPr/>
                    <w:sdtContent>
                      <w:p w14:paraId="0B70643A" w14:textId="6EE81FEB" w:rsidR="00786640" w:rsidRDefault="00786640" w:rsidP="00DE73AC">
                        <w:pPr>
                          <w:pStyle w:val="Intestazione"/>
                          <w:jc w:val="right"/>
                          <w:rPr>
                            <w:caps/>
                            <w:color w:val="FFFFFF" w:themeColor="background1"/>
                          </w:rPr>
                        </w:pPr>
                        <w:r>
                          <w:rPr>
                            <w:caps/>
                            <w:color w:val="FFFFFF" w:themeColor="background1"/>
                          </w:rPr>
                          <w:t>Relazione Annuale per l’anno 2021</w:t>
                        </w:r>
                      </w:p>
                    </w:sdtContent>
                  </w:sdt>
                </w:txbxContent>
              </v:textbox>
              <w10:wrap type="square" anchorx="page"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40AB1"/>
    <w:multiLevelType w:val="hybridMultilevel"/>
    <w:tmpl w:val="C2B2CB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FBC5316"/>
    <w:multiLevelType w:val="hybridMultilevel"/>
    <w:tmpl w:val="640C91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5A169AA"/>
    <w:multiLevelType w:val="hybridMultilevel"/>
    <w:tmpl w:val="DE560B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14E5698"/>
    <w:multiLevelType w:val="hybridMultilevel"/>
    <w:tmpl w:val="BA8AF6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F0A5FD0"/>
    <w:multiLevelType w:val="hybridMultilevel"/>
    <w:tmpl w:val="D88274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F970256"/>
    <w:multiLevelType w:val="hybridMultilevel"/>
    <w:tmpl w:val="72A232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04C0832"/>
    <w:multiLevelType w:val="hybridMultilevel"/>
    <w:tmpl w:val="349464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7B13780"/>
    <w:multiLevelType w:val="hybridMultilevel"/>
    <w:tmpl w:val="F97EE76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EA5773E"/>
    <w:multiLevelType w:val="hybridMultilevel"/>
    <w:tmpl w:val="92DC8E7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3F70E9C"/>
    <w:multiLevelType w:val="hybridMultilevel"/>
    <w:tmpl w:val="6A942FA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58B2720"/>
    <w:multiLevelType w:val="multilevel"/>
    <w:tmpl w:val="5C8034F0"/>
    <w:lvl w:ilvl="0">
      <w:start w:val="1"/>
      <w:numFmt w:val="decimal"/>
      <w:lvlText w:val="%1."/>
      <w:lvlJc w:val="left"/>
      <w:pPr>
        <w:ind w:left="360" w:hanging="360"/>
      </w:pPr>
      <w:rPr>
        <w:rFonts w:hint="default"/>
        <w:b/>
        <w:bCs w:val="0"/>
        <w:u w:val="none"/>
      </w:rPr>
    </w:lvl>
    <w:lvl w:ilvl="1">
      <w:start w:val="1"/>
      <w:numFmt w:val="decimal"/>
      <w:lvlText w:val="%1.%2"/>
      <w:lvlJc w:val="left"/>
      <w:pPr>
        <w:ind w:left="1440" w:hanging="360"/>
      </w:pPr>
      <w:rPr>
        <w:rFonts w:hint="default"/>
        <w:b w:val="0"/>
        <w:u w:val="single"/>
      </w:rPr>
    </w:lvl>
    <w:lvl w:ilvl="2">
      <w:start w:val="1"/>
      <w:numFmt w:val="decimal"/>
      <w:lvlText w:val="%1.%2.%3"/>
      <w:lvlJc w:val="left"/>
      <w:pPr>
        <w:ind w:left="2880" w:hanging="720"/>
      </w:pPr>
      <w:rPr>
        <w:rFonts w:hint="default"/>
        <w:b w:val="0"/>
        <w:u w:val="single"/>
      </w:rPr>
    </w:lvl>
    <w:lvl w:ilvl="3">
      <w:start w:val="1"/>
      <w:numFmt w:val="decimal"/>
      <w:lvlText w:val="%1.%2.%3.%4"/>
      <w:lvlJc w:val="left"/>
      <w:pPr>
        <w:ind w:left="3960" w:hanging="720"/>
      </w:pPr>
      <w:rPr>
        <w:rFonts w:hint="default"/>
        <w:b w:val="0"/>
        <w:u w:val="single"/>
      </w:rPr>
    </w:lvl>
    <w:lvl w:ilvl="4">
      <w:start w:val="1"/>
      <w:numFmt w:val="decimal"/>
      <w:lvlText w:val="%1.%2.%3.%4.%5"/>
      <w:lvlJc w:val="left"/>
      <w:pPr>
        <w:ind w:left="5400" w:hanging="1080"/>
      </w:pPr>
      <w:rPr>
        <w:rFonts w:hint="default"/>
        <w:b w:val="0"/>
        <w:u w:val="single"/>
      </w:rPr>
    </w:lvl>
    <w:lvl w:ilvl="5">
      <w:start w:val="1"/>
      <w:numFmt w:val="decimal"/>
      <w:lvlText w:val="%1.%2.%3.%4.%5.%6"/>
      <w:lvlJc w:val="left"/>
      <w:pPr>
        <w:ind w:left="6480" w:hanging="1080"/>
      </w:pPr>
      <w:rPr>
        <w:rFonts w:hint="default"/>
        <w:b w:val="0"/>
        <w:u w:val="single"/>
      </w:rPr>
    </w:lvl>
    <w:lvl w:ilvl="6">
      <w:start w:val="1"/>
      <w:numFmt w:val="decimal"/>
      <w:lvlText w:val="%1.%2.%3.%4.%5.%6.%7"/>
      <w:lvlJc w:val="left"/>
      <w:pPr>
        <w:ind w:left="7920" w:hanging="1440"/>
      </w:pPr>
      <w:rPr>
        <w:rFonts w:hint="default"/>
        <w:b w:val="0"/>
        <w:u w:val="single"/>
      </w:rPr>
    </w:lvl>
    <w:lvl w:ilvl="7">
      <w:start w:val="1"/>
      <w:numFmt w:val="decimal"/>
      <w:lvlText w:val="%1.%2.%3.%4.%5.%6.%7.%8"/>
      <w:lvlJc w:val="left"/>
      <w:pPr>
        <w:ind w:left="9000" w:hanging="1440"/>
      </w:pPr>
      <w:rPr>
        <w:rFonts w:hint="default"/>
        <w:b w:val="0"/>
        <w:u w:val="single"/>
      </w:rPr>
    </w:lvl>
    <w:lvl w:ilvl="8">
      <w:start w:val="1"/>
      <w:numFmt w:val="decimal"/>
      <w:lvlText w:val="%1.%2.%3.%4.%5.%6.%7.%8.%9"/>
      <w:lvlJc w:val="left"/>
      <w:pPr>
        <w:ind w:left="10440" w:hanging="1800"/>
      </w:pPr>
      <w:rPr>
        <w:rFonts w:hint="default"/>
        <w:b w:val="0"/>
        <w:u w:val="single"/>
      </w:rPr>
    </w:lvl>
  </w:abstractNum>
  <w:abstractNum w:abstractNumId="11" w15:restartNumberingAfterBreak="0">
    <w:nsid w:val="46AA1AA2"/>
    <w:multiLevelType w:val="hybridMultilevel"/>
    <w:tmpl w:val="F0847B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5073C1C"/>
    <w:multiLevelType w:val="hybridMultilevel"/>
    <w:tmpl w:val="799602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5C47724"/>
    <w:multiLevelType w:val="multilevel"/>
    <w:tmpl w:val="65D40826"/>
    <w:lvl w:ilvl="0">
      <w:start w:val="1"/>
      <w:numFmt w:val="decimal"/>
      <w:lvlText w:val="%1."/>
      <w:lvlJc w:val="left"/>
      <w:pPr>
        <w:ind w:left="720" w:hanging="360"/>
      </w:pPr>
    </w:lvl>
    <w:lvl w:ilvl="1">
      <w:start w:val="1"/>
      <w:numFmt w:val="decimal"/>
      <w:isLgl/>
      <w:lvlText w:val="%1.%2"/>
      <w:lvlJc w:val="left"/>
      <w:pPr>
        <w:ind w:left="750" w:hanging="390"/>
      </w:pPr>
      <w:rPr>
        <w:rFonts w:hint="default"/>
        <w:b w:val="0"/>
        <w:u w:val="single"/>
      </w:rPr>
    </w:lvl>
    <w:lvl w:ilvl="2">
      <w:start w:val="1"/>
      <w:numFmt w:val="decimal"/>
      <w:isLgl/>
      <w:lvlText w:val="%1.%2.%3"/>
      <w:lvlJc w:val="left"/>
      <w:pPr>
        <w:ind w:left="1080" w:hanging="720"/>
      </w:pPr>
      <w:rPr>
        <w:rFonts w:hint="default"/>
        <w:b w:val="0"/>
        <w:u w:val="single"/>
      </w:rPr>
    </w:lvl>
    <w:lvl w:ilvl="3">
      <w:start w:val="1"/>
      <w:numFmt w:val="decimal"/>
      <w:isLgl/>
      <w:lvlText w:val="%1.%2.%3.%4"/>
      <w:lvlJc w:val="left"/>
      <w:pPr>
        <w:ind w:left="1080" w:hanging="720"/>
      </w:pPr>
      <w:rPr>
        <w:rFonts w:hint="default"/>
        <w:b w:val="0"/>
        <w:u w:val="single"/>
      </w:rPr>
    </w:lvl>
    <w:lvl w:ilvl="4">
      <w:start w:val="1"/>
      <w:numFmt w:val="decimal"/>
      <w:isLgl/>
      <w:lvlText w:val="%1.%2.%3.%4.%5"/>
      <w:lvlJc w:val="left"/>
      <w:pPr>
        <w:ind w:left="1440" w:hanging="1080"/>
      </w:pPr>
      <w:rPr>
        <w:rFonts w:hint="default"/>
        <w:b w:val="0"/>
        <w:u w:val="single"/>
      </w:rPr>
    </w:lvl>
    <w:lvl w:ilvl="5">
      <w:start w:val="1"/>
      <w:numFmt w:val="decimal"/>
      <w:isLgl/>
      <w:lvlText w:val="%1.%2.%3.%4.%5.%6"/>
      <w:lvlJc w:val="left"/>
      <w:pPr>
        <w:ind w:left="1440" w:hanging="1080"/>
      </w:pPr>
      <w:rPr>
        <w:rFonts w:hint="default"/>
        <w:b w:val="0"/>
        <w:u w:val="single"/>
      </w:rPr>
    </w:lvl>
    <w:lvl w:ilvl="6">
      <w:start w:val="1"/>
      <w:numFmt w:val="decimal"/>
      <w:isLgl/>
      <w:lvlText w:val="%1.%2.%3.%4.%5.%6.%7"/>
      <w:lvlJc w:val="left"/>
      <w:pPr>
        <w:ind w:left="1800" w:hanging="1440"/>
      </w:pPr>
      <w:rPr>
        <w:rFonts w:hint="default"/>
        <w:b w:val="0"/>
        <w:u w:val="single"/>
      </w:rPr>
    </w:lvl>
    <w:lvl w:ilvl="7">
      <w:start w:val="1"/>
      <w:numFmt w:val="decimal"/>
      <w:isLgl/>
      <w:lvlText w:val="%1.%2.%3.%4.%5.%6.%7.%8"/>
      <w:lvlJc w:val="left"/>
      <w:pPr>
        <w:ind w:left="2160" w:hanging="1800"/>
      </w:pPr>
      <w:rPr>
        <w:rFonts w:hint="default"/>
        <w:b w:val="0"/>
        <w:u w:val="single"/>
      </w:rPr>
    </w:lvl>
    <w:lvl w:ilvl="8">
      <w:start w:val="1"/>
      <w:numFmt w:val="decimal"/>
      <w:isLgl/>
      <w:lvlText w:val="%1.%2.%3.%4.%5.%6.%7.%8.%9"/>
      <w:lvlJc w:val="left"/>
      <w:pPr>
        <w:ind w:left="2160" w:hanging="1800"/>
      </w:pPr>
      <w:rPr>
        <w:rFonts w:hint="default"/>
        <w:b w:val="0"/>
        <w:u w:val="single"/>
      </w:rPr>
    </w:lvl>
  </w:abstractNum>
  <w:abstractNum w:abstractNumId="14" w15:restartNumberingAfterBreak="0">
    <w:nsid w:val="5F46489B"/>
    <w:multiLevelType w:val="hybridMultilevel"/>
    <w:tmpl w:val="2D5EBA6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74B45F37"/>
    <w:multiLevelType w:val="hybridMultilevel"/>
    <w:tmpl w:val="0F6E4E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5"/>
  </w:num>
  <w:num w:numId="2">
    <w:abstractNumId w:val="7"/>
  </w:num>
  <w:num w:numId="3">
    <w:abstractNumId w:val="2"/>
  </w:num>
  <w:num w:numId="4">
    <w:abstractNumId w:val="12"/>
  </w:num>
  <w:num w:numId="5">
    <w:abstractNumId w:val="4"/>
  </w:num>
  <w:num w:numId="6">
    <w:abstractNumId w:val="10"/>
  </w:num>
  <w:num w:numId="7">
    <w:abstractNumId w:val="11"/>
  </w:num>
  <w:num w:numId="8">
    <w:abstractNumId w:val="14"/>
  </w:num>
  <w:num w:numId="9">
    <w:abstractNumId w:val="13"/>
  </w:num>
  <w:num w:numId="10">
    <w:abstractNumId w:val="0"/>
  </w:num>
  <w:num w:numId="11">
    <w:abstractNumId w:val="9"/>
  </w:num>
  <w:num w:numId="12">
    <w:abstractNumId w:val="5"/>
  </w:num>
  <w:num w:numId="13">
    <w:abstractNumId w:val="1"/>
  </w:num>
  <w:num w:numId="14">
    <w:abstractNumId w:val="8"/>
  </w:num>
  <w:num w:numId="15">
    <w:abstractNumId w:val="6"/>
  </w:num>
  <w:num w:numId="16">
    <w:abstractNumId w:val="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B7B"/>
    <w:rsid w:val="000306B3"/>
    <w:rsid w:val="000345BD"/>
    <w:rsid w:val="000D1289"/>
    <w:rsid w:val="000F0620"/>
    <w:rsid w:val="00177D78"/>
    <w:rsid w:val="001A171D"/>
    <w:rsid w:val="001F5B56"/>
    <w:rsid w:val="00216867"/>
    <w:rsid w:val="002407E8"/>
    <w:rsid w:val="00250DA2"/>
    <w:rsid w:val="00256B3B"/>
    <w:rsid w:val="002655C2"/>
    <w:rsid w:val="002A1B5F"/>
    <w:rsid w:val="002A389C"/>
    <w:rsid w:val="002D4276"/>
    <w:rsid w:val="002E0A55"/>
    <w:rsid w:val="003045E8"/>
    <w:rsid w:val="00322862"/>
    <w:rsid w:val="00331B7B"/>
    <w:rsid w:val="0035359D"/>
    <w:rsid w:val="003727E9"/>
    <w:rsid w:val="003906AF"/>
    <w:rsid w:val="003A2668"/>
    <w:rsid w:val="003C286C"/>
    <w:rsid w:val="003D7190"/>
    <w:rsid w:val="0041384F"/>
    <w:rsid w:val="004257DE"/>
    <w:rsid w:val="00440A5B"/>
    <w:rsid w:val="004476C3"/>
    <w:rsid w:val="00451A5F"/>
    <w:rsid w:val="00451E40"/>
    <w:rsid w:val="00464E74"/>
    <w:rsid w:val="00472452"/>
    <w:rsid w:val="00474AC0"/>
    <w:rsid w:val="004A3E77"/>
    <w:rsid w:val="0059143C"/>
    <w:rsid w:val="005D68AB"/>
    <w:rsid w:val="00601A83"/>
    <w:rsid w:val="006249F7"/>
    <w:rsid w:val="00636284"/>
    <w:rsid w:val="00645376"/>
    <w:rsid w:val="006B601E"/>
    <w:rsid w:val="006E2093"/>
    <w:rsid w:val="006F5F60"/>
    <w:rsid w:val="00701CAA"/>
    <w:rsid w:val="00714883"/>
    <w:rsid w:val="0072488C"/>
    <w:rsid w:val="00750660"/>
    <w:rsid w:val="00781A08"/>
    <w:rsid w:val="00782261"/>
    <w:rsid w:val="00786640"/>
    <w:rsid w:val="007961F3"/>
    <w:rsid w:val="007A1A5C"/>
    <w:rsid w:val="007A38AA"/>
    <w:rsid w:val="007D364F"/>
    <w:rsid w:val="007E4151"/>
    <w:rsid w:val="007F7C8F"/>
    <w:rsid w:val="008424AA"/>
    <w:rsid w:val="0086346E"/>
    <w:rsid w:val="008A60BA"/>
    <w:rsid w:val="008A6FA0"/>
    <w:rsid w:val="008A7E4D"/>
    <w:rsid w:val="008E31BC"/>
    <w:rsid w:val="008F7DA1"/>
    <w:rsid w:val="00940538"/>
    <w:rsid w:val="0094224D"/>
    <w:rsid w:val="00962725"/>
    <w:rsid w:val="009758F4"/>
    <w:rsid w:val="009778F1"/>
    <w:rsid w:val="009A2095"/>
    <w:rsid w:val="009F142E"/>
    <w:rsid w:val="009F2D08"/>
    <w:rsid w:val="00A53E3E"/>
    <w:rsid w:val="00A549AF"/>
    <w:rsid w:val="00A5722C"/>
    <w:rsid w:val="00A57C93"/>
    <w:rsid w:val="00A627FD"/>
    <w:rsid w:val="00AE27E1"/>
    <w:rsid w:val="00B060A0"/>
    <w:rsid w:val="00B51AFE"/>
    <w:rsid w:val="00B82B11"/>
    <w:rsid w:val="00BA122E"/>
    <w:rsid w:val="00BA178E"/>
    <w:rsid w:val="00BD0F2B"/>
    <w:rsid w:val="00BF1828"/>
    <w:rsid w:val="00C31BDA"/>
    <w:rsid w:val="00C872F7"/>
    <w:rsid w:val="00CE221C"/>
    <w:rsid w:val="00CE3A62"/>
    <w:rsid w:val="00CF2EC5"/>
    <w:rsid w:val="00CF6D83"/>
    <w:rsid w:val="00DD6597"/>
    <w:rsid w:val="00DE73AC"/>
    <w:rsid w:val="00DF548F"/>
    <w:rsid w:val="00E0618C"/>
    <w:rsid w:val="00E120A7"/>
    <w:rsid w:val="00E17F42"/>
    <w:rsid w:val="00E548A2"/>
    <w:rsid w:val="00E67D06"/>
    <w:rsid w:val="00ED33C8"/>
    <w:rsid w:val="00F37406"/>
    <w:rsid w:val="00F67093"/>
    <w:rsid w:val="00F8380B"/>
    <w:rsid w:val="00FE3E0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475A12"/>
  <w15:chartTrackingRefBased/>
  <w15:docId w15:val="{595EC833-441D-4B0C-BBCD-99177BEA9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uiPriority w:val="9"/>
    <w:qFormat/>
    <w:rsid w:val="00BF182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Normale"/>
    <w:next w:val="Normale"/>
    <w:link w:val="Titolo2Carattere"/>
    <w:uiPriority w:val="9"/>
    <w:semiHidden/>
    <w:unhideWhenUsed/>
    <w:qFormat/>
    <w:rsid w:val="00F8380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olo3">
    <w:name w:val="heading 3"/>
    <w:basedOn w:val="Normale"/>
    <w:next w:val="Normale"/>
    <w:link w:val="Titolo3Carattere"/>
    <w:uiPriority w:val="9"/>
    <w:semiHidden/>
    <w:unhideWhenUsed/>
    <w:qFormat/>
    <w:rsid w:val="00F8380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31B7B"/>
    <w:pPr>
      <w:ind w:left="720"/>
      <w:contextualSpacing/>
    </w:pPr>
  </w:style>
  <w:style w:type="paragraph" w:styleId="Testonotaapidipagina">
    <w:name w:val="footnote text"/>
    <w:basedOn w:val="Normale"/>
    <w:link w:val="TestonotaapidipaginaCarattere"/>
    <w:uiPriority w:val="99"/>
    <w:rsid w:val="00474AC0"/>
    <w:pPr>
      <w:suppressAutoHyphens/>
      <w:spacing w:after="0" w:line="240" w:lineRule="auto"/>
    </w:pPr>
    <w:rPr>
      <w:rFonts w:ascii="Times New Roman" w:eastAsia="Times New Roman" w:hAnsi="Times New Roman" w:cs="Times New Roman"/>
      <w:sz w:val="20"/>
      <w:szCs w:val="20"/>
      <w:lang w:eastAsia="ar-SA"/>
    </w:rPr>
  </w:style>
  <w:style w:type="character" w:customStyle="1" w:styleId="TestonotaapidipaginaCarattere">
    <w:name w:val="Testo nota a piè di pagina Carattere"/>
    <w:basedOn w:val="Carpredefinitoparagrafo"/>
    <w:link w:val="Testonotaapidipagina"/>
    <w:uiPriority w:val="99"/>
    <w:rsid w:val="00474AC0"/>
    <w:rPr>
      <w:rFonts w:ascii="Times New Roman" w:eastAsia="Times New Roman" w:hAnsi="Times New Roman" w:cs="Times New Roman"/>
      <w:sz w:val="20"/>
      <w:szCs w:val="20"/>
      <w:lang w:eastAsia="ar-SA"/>
    </w:rPr>
  </w:style>
  <w:style w:type="character" w:styleId="Rimandonotaapidipagina">
    <w:name w:val="footnote reference"/>
    <w:uiPriority w:val="99"/>
    <w:unhideWhenUsed/>
    <w:rsid w:val="00474AC0"/>
    <w:rPr>
      <w:vertAlign w:val="superscript"/>
    </w:rPr>
  </w:style>
  <w:style w:type="paragraph" w:styleId="Nessunaspaziatura">
    <w:name w:val="No Spacing"/>
    <w:link w:val="NessunaspaziaturaCarattere"/>
    <w:uiPriority w:val="1"/>
    <w:qFormat/>
    <w:rsid w:val="006F5F60"/>
    <w:pPr>
      <w:spacing w:after="0" w:line="240" w:lineRule="auto"/>
    </w:pPr>
    <w:rPr>
      <w:rFonts w:eastAsiaTheme="minorEastAsia"/>
      <w:lang w:eastAsia="it-IT"/>
    </w:rPr>
  </w:style>
  <w:style w:type="character" w:customStyle="1" w:styleId="NessunaspaziaturaCarattere">
    <w:name w:val="Nessuna spaziatura Carattere"/>
    <w:basedOn w:val="Carpredefinitoparagrafo"/>
    <w:link w:val="Nessunaspaziatura"/>
    <w:uiPriority w:val="1"/>
    <w:rsid w:val="006F5F60"/>
    <w:rPr>
      <w:rFonts w:eastAsiaTheme="minorEastAsia"/>
      <w:lang w:eastAsia="it-IT"/>
    </w:rPr>
  </w:style>
  <w:style w:type="paragraph" w:styleId="Intestazione">
    <w:name w:val="header"/>
    <w:basedOn w:val="Normale"/>
    <w:link w:val="IntestazioneCarattere"/>
    <w:uiPriority w:val="99"/>
    <w:unhideWhenUsed/>
    <w:rsid w:val="00BF182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F1828"/>
  </w:style>
  <w:style w:type="paragraph" w:styleId="Pidipagina">
    <w:name w:val="footer"/>
    <w:basedOn w:val="Normale"/>
    <w:link w:val="PidipaginaCarattere"/>
    <w:uiPriority w:val="99"/>
    <w:unhideWhenUsed/>
    <w:rsid w:val="00BF182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F1828"/>
  </w:style>
  <w:style w:type="character" w:customStyle="1" w:styleId="Titolo1Carattere">
    <w:name w:val="Titolo 1 Carattere"/>
    <w:basedOn w:val="Carpredefinitoparagrafo"/>
    <w:link w:val="Titolo1"/>
    <w:uiPriority w:val="9"/>
    <w:rsid w:val="00BF1828"/>
    <w:rPr>
      <w:rFonts w:asciiTheme="majorHAnsi" w:eastAsiaTheme="majorEastAsia" w:hAnsiTheme="majorHAnsi" w:cstheme="majorBidi"/>
      <w:color w:val="2E74B5" w:themeColor="accent1" w:themeShade="BF"/>
      <w:sz w:val="32"/>
      <w:szCs w:val="32"/>
    </w:rPr>
  </w:style>
  <w:style w:type="paragraph" w:styleId="Titolosommario">
    <w:name w:val="TOC Heading"/>
    <w:basedOn w:val="Titolo1"/>
    <w:next w:val="Normale"/>
    <w:uiPriority w:val="39"/>
    <w:unhideWhenUsed/>
    <w:qFormat/>
    <w:rsid w:val="00BF1828"/>
    <w:pPr>
      <w:outlineLvl w:val="9"/>
    </w:pPr>
    <w:rPr>
      <w:lang w:eastAsia="it-IT"/>
    </w:rPr>
  </w:style>
  <w:style w:type="paragraph" w:styleId="Sommario2">
    <w:name w:val="toc 2"/>
    <w:basedOn w:val="Normale"/>
    <w:next w:val="Normale"/>
    <w:autoRedefine/>
    <w:uiPriority w:val="39"/>
    <w:unhideWhenUsed/>
    <w:rsid w:val="0035359D"/>
    <w:pPr>
      <w:tabs>
        <w:tab w:val="left" w:pos="880"/>
        <w:tab w:val="right" w:leader="dot" w:pos="9628"/>
      </w:tabs>
      <w:spacing w:after="100"/>
      <w:ind w:left="851" w:hanging="425"/>
    </w:pPr>
    <w:rPr>
      <w:rFonts w:eastAsiaTheme="minorEastAsia" w:cs="Times New Roman"/>
      <w:lang w:eastAsia="it-IT"/>
    </w:rPr>
  </w:style>
  <w:style w:type="paragraph" w:styleId="Sommario1">
    <w:name w:val="toc 1"/>
    <w:basedOn w:val="Normale"/>
    <w:next w:val="Normale"/>
    <w:autoRedefine/>
    <w:uiPriority w:val="39"/>
    <w:unhideWhenUsed/>
    <w:rsid w:val="0035359D"/>
    <w:pPr>
      <w:tabs>
        <w:tab w:val="left" w:pos="440"/>
        <w:tab w:val="right" w:leader="dot" w:pos="9638"/>
      </w:tabs>
      <w:spacing w:after="100"/>
    </w:pPr>
    <w:rPr>
      <w:rFonts w:eastAsiaTheme="minorEastAsia" w:cs="Times New Roman"/>
      <w:lang w:eastAsia="it-IT"/>
    </w:rPr>
  </w:style>
  <w:style w:type="paragraph" w:styleId="Sommario3">
    <w:name w:val="toc 3"/>
    <w:basedOn w:val="Normale"/>
    <w:next w:val="Normale"/>
    <w:autoRedefine/>
    <w:uiPriority w:val="39"/>
    <w:unhideWhenUsed/>
    <w:rsid w:val="0035359D"/>
    <w:pPr>
      <w:tabs>
        <w:tab w:val="left" w:pos="1320"/>
        <w:tab w:val="right" w:leader="dot" w:pos="9638"/>
      </w:tabs>
      <w:spacing w:after="100"/>
      <w:ind w:left="993" w:hanging="567"/>
    </w:pPr>
    <w:rPr>
      <w:rFonts w:eastAsiaTheme="minorEastAsia" w:cs="Times New Roman"/>
      <w:lang w:eastAsia="it-IT"/>
    </w:rPr>
  </w:style>
  <w:style w:type="character" w:customStyle="1" w:styleId="Titolo2Carattere">
    <w:name w:val="Titolo 2 Carattere"/>
    <w:basedOn w:val="Carpredefinitoparagrafo"/>
    <w:link w:val="Titolo2"/>
    <w:uiPriority w:val="9"/>
    <w:semiHidden/>
    <w:rsid w:val="00F8380B"/>
    <w:rPr>
      <w:rFonts w:asciiTheme="majorHAnsi" w:eastAsiaTheme="majorEastAsia" w:hAnsiTheme="majorHAnsi" w:cstheme="majorBidi"/>
      <w:color w:val="2E74B5" w:themeColor="accent1" w:themeShade="BF"/>
      <w:sz w:val="26"/>
      <w:szCs w:val="26"/>
    </w:rPr>
  </w:style>
  <w:style w:type="character" w:customStyle="1" w:styleId="Titolo3Carattere">
    <w:name w:val="Titolo 3 Carattere"/>
    <w:basedOn w:val="Carpredefinitoparagrafo"/>
    <w:link w:val="Titolo3"/>
    <w:uiPriority w:val="9"/>
    <w:semiHidden/>
    <w:rsid w:val="00F8380B"/>
    <w:rPr>
      <w:rFonts w:asciiTheme="majorHAnsi" w:eastAsiaTheme="majorEastAsia" w:hAnsiTheme="majorHAnsi" w:cstheme="majorBidi"/>
      <w:color w:val="1F4D78" w:themeColor="accent1" w:themeShade="7F"/>
      <w:sz w:val="24"/>
      <w:szCs w:val="24"/>
    </w:rPr>
  </w:style>
  <w:style w:type="character" w:styleId="Collegamentoipertestuale">
    <w:name w:val="Hyperlink"/>
    <w:basedOn w:val="Carpredefinitoparagrafo"/>
    <w:uiPriority w:val="99"/>
    <w:unhideWhenUsed/>
    <w:rsid w:val="00E17F42"/>
    <w:rPr>
      <w:color w:val="0563C1" w:themeColor="hyperlink"/>
      <w:u w:val="single"/>
    </w:rPr>
  </w:style>
  <w:style w:type="table" w:styleId="Grigliatabella">
    <w:name w:val="Table Grid"/>
    <w:basedOn w:val="Tabellanormale"/>
    <w:uiPriority w:val="39"/>
    <w:rsid w:val="004724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package" Target="../embeddings/Foglio_di_lavoro_di_Microsoft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adsp-drive\STAFF\Personale\%23DeRossi\BUDGET\2021%20CONSUNTIVO\grafici%20per%20consuntivo\Copia%20di%20Stampa%20Dati%20Annuali%20personale%202021.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bar"/>
        <c:grouping val="clustered"/>
        <c:varyColors val="0"/>
        <c:ser>
          <c:idx val="0"/>
          <c:order val="0"/>
          <c:tx>
            <c:strRef>
              <c:f>Foglio1!$J$1</c:f>
              <c:strCache>
                <c:ptCount val="1"/>
                <c:pt idx="0">
                  <c:v>2021</c:v>
                </c:pt>
              </c:strCache>
            </c:strRef>
          </c:tx>
          <c:spPr>
            <a:solidFill>
              <a:srgbClr val="5B9BD5"/>
            </a:solidFill>
            <a:ln w="25414">
              <a:noFill/>
            </a:ln>
          </c:spPr>
          <c:invertIfNegative val="0"/>
          <c:dLbls>
            <c:spPr>
              <a:noFill/>
              <a:ln w="25414">
                <a:noFill/>
              </a:ln>
            </c:spPr>
            <c:txPr>
              <a:bodyPr wrap="square" lIns="38100" tIns="19050" rIns="38100" bIns="19050" anchor="ctr">
                <a:spAutoFit/>
              </a:bodyPr>
              <a:lstStyle/>
              <a:p>
                <a:pPr>
                  <a:defRPr sz="900" b="0" i="0" u="none" strike="noStrike" baseline="0">
                    <a:solidFill>
                      <a:srgbClr val="333333"/>
                    </a:solidFill>
                    <a:latin typeface="Calibri"/>
                    <a:ea typeface="Calibri"/>
                    <a:cs typeface="Calibri"/>
                  </a:defRPr>
                </a:pPr>
                <a:endParaRPr lang="it-IT"/>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Foglio1!$I$2:$I$6</c:f>
              <c:strCache>
                <c:ptCount val="5"/>
                <c:pt idx="0">
                  <c:v>ASSENZE SU ORE LAVORATE</c:v>
                </c:pt>
                <c:pt idx="1">
                  <c:v>MALATTIA</c:v>
                </c:pt>
                <c:pt idx="2">
                  <c:v>FERIE</c:v>
                </c:pt>
                <c:pt idx="3">
                  <c:v>MATERNITA'</c:v>
                </c:pt>
                <c:pt idx="4">
                  <c:v>ASSENZE ALTRE</c:v>
                </c:pt>
              </c:strCache>
            </c:strRef>
          </c:cat>
          <c:val>
            <c:numRef>
              <c:f>Foglio1!$J$2:$J$6</c:f>
              <c:numCache>
                <c:formatCode>0.00%</c:formatCode>
                <c:ptCount val="5"/>
                <c:pt idx="0">
                  <c:v>0.14419999999999999</c:v>
                </c:pt>
                <c:pt idx="1">
                  <c:v>2.5100000000000001E-2</c:v>
                </c:pt>
                <c:pt idx="2">
                  <c:v>8.5400000000000004E-2</c:v>
                </c:pt>
                <c:pt idx="3">
                  <c:v>2.1600000000000001E-2</c:v>
                </c:pt>
                <c:pt idx="4">
                  <c:v>1.21E-2</c:v>
                </c:pt>
              </c:numCache>
            </c:numRef>
          </c:val>
          <c:extLst xmlns:c16r2="http://schemas.microsoft.com/office/drawing/2015/06/chart">
            <c:ext xmlns:c16="http://schemas.microsoft.com/office/drawing/2014/chart" uri="{C3380CC4-5D6E-409C-BE32-E72D297353CC}">
              <c16:uniqueId val="{00000000-A784-4334-BF56-C5BAD651E11A}"/>
            </c:ext>
          </c:extLst>
        </c:ser>
        <c:ser>
          <c:idx val="1"/>
          <c:order val="1"/>
          <c:tx>
            <c:strRef>
              <c:f>Foglio1!$K$1</c:f>
              <c:strCache>
                <c:ptCount val="1"/>
                <c:pt idx="0">
                  <c:v>2020</c:v>
                </c:pt>
              </c:strCache>
            </c:strRef>
          </c:tx>
          <c:spPr>
            <a:solidFill>
              <a:srgbClr val="ED7D31"/>
            </a:solidFill>
            <a:ln w="25414">
              <a:noFill/>
            </a:ln>
          </c:spPr>
          <c:invertIfNegative val="0"/>
          <c:dLbls>
            <c:spPr>
              <a:noFill/>
              <a:ln w="25414">
                <a:noFill/>
              </a:ln>
            </c:spPr>
            <c:txPr>
              <a:bodyPr wrap="square" lIns="38100" tIns="19050" rIns="38100" bIns="19050" anchor="ctr">
                <a:spAutoFit/>
              </a:bodyPr>
              <a:lstStyle/>
              <a:p>
                <a:pPr>
                  <a:defRPr sz="900" b="0" i="0" u="none" strike="noStrike" baseline="0">
                    <a:solidFill>
                      <a:srgbClr val="333333"/>
                    </a:solidFill>
                    <a:latin typeface="Calibri"/>
                    <a:ea typeface="Calibri"/>
                    <a:cs typeface="Calibri"/>
                  </a:defRPr>
                </a:pPr>
                <a:endParaRPr lang="it-IT"/>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Foglio1!$I$2:$I$6</c:f>
              <c:strCache>
                <c:ptCount val="5"/>
                <c:pt idx="0">
                  <c:v>ASSENZE SU ORE LAVORATE</c:v>
                </c:pt>
                <c:pt idx="1">
                  <c:v>MALATTIA</c:v>
                </c:pt>
                <c:pt idx="2">
                  <c:v>FERIE</c:v>
                </c:pt>
                <c:pt idx="3">
                  <c:v>MATERNITA'</c:v>
                </c:pt>
                <c:pt idx="4">
                  <c:v>ASSENZE ALTRE</c:v>
                </c:pt>
              </c:strCache>
            </c:strRef>
          </c:cat>
          <c:val>
            <c:numRef>
              <c:f>Foglio1!$K$2:$K$6</c:f>
              <c:numCache>
                <c:formatCode>0.00%</c:formatCode>
                <c:ptCount val="5"/>
                <c:pt idx="0">
                  <c:v>0.1542</c:v>
                </c:pt>
                <c:pt idx="1">
                  <c:v>2.92E-2</c:v>
                </c:pt>
                <c:pt idx="2">
                  <c:v>8.4099999999999994E-2</c:v>
                </c:pt>
                <c:pt idx="3">
                  <c:v>2.6800000000000001E-2</c:v>
                </c:pt>
                <c:pt idx="4">
                  <c:v>1.4E-2</c:v>
                </c:pt>
              </c:numCache>
            </c:numRef>
          </c:val>
          <c:extLst xmlns:c16r2="http://schemas.microsoft.com/office/drawing/2015/06/chart">
            <c:ext xmlns:c16="http://schemas.microsoft.com/office/drawing/2014/chart" uri="{C3380CC4-5D6E-409C-BE32-E72D297353CC}">
              <c16:uniqueId val="{00000001-A784-4334-BF56-C5BAD651E11A}"/>
            </c:ext>
          </c:extLst>
        </c:ser>
        <c:ser>
          <c:idx val="2"/>
          <c:order val="2"/>
          <c:tx>
            <c:strRef>
              <c:f>Foglio1!$L$1</c:f>
              <c:strCache>
                <c:ptCount val="1"/>
                <c:pt idx="0">
                  <c:v>2019</c:v>
                </c:pt>
              </c:strCache>
            </c:strRef>
          </c:tx>
          <c:spPr>
            <a:solidFill>
              <a:srgbClr val="A5A5A5"/>
            </a:solidFill>
            <a:ln w="25414">
              <a:noFill/>
            </a:ln>
          </c:spPr>
          <c:invertIfNegative val="0"/>
          <c:dLbls>
            <c:dLbl>
              <c:idx val="0"/>
              <c:layout>
                <c:manualLayout>
                  <c:x val="-4.9109873868829462E-3"/>
                  <c:y val="-5.0724637681159555E-2"/>
                </c:manualLayout>
              </c:layout>
              <c:spPr>
                <a:noFill/>
                <a:ln w="25414">
                  <a:noFill/>
                </a:ln>
              </c:spPr>
              <c:txPr>
                <a:bodyPr/>
                <a:lstStyle/>
                <a:p>
                  <a:pPr>
                    <a:defRPr sz="900" b="0" i="0" u="none" strike="noStrike" baseline="0">
                      <a:solidFill>
                        <a:srgbClr val="333333"/>
                      </a:solidFill>
                      <a:latin typeface="Calibri"/>
                      <a:ea typeface="Calibri"/>
                      <a:cs typeface="Calibri"/>
                    </a:defRPr>
                  </a:pPr>
                  <a:endParaRPr lang="it-IT"/>
                </a:p>
              </c:txPr>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A784-4334-BF56-C5BAD651E11A}"/>
                </c:ext>
                <c:ext xmlns:c15="http://schemas.microsoft.com/office/drawing/2012/chart" uri="{CE6537A1-D6FC-4f65-9D91-7224C49458BB}"/>
              </c:extLst>
            </c:dLbl>
            <c:spPr>
              <a:noFill/>
              <a:ln w="25414">
                <a:noFill/>
              </a:ln>
            </c:spPr>
            <c:txPr>
              <a:bodyPr wrap="square" lIns="38100" tIns="19050" rIns="38100" bIns="19050" anchor="ctr">
                <a:spAutoFit/>
              </a:bodyPr>
              <a:lstStyle/>
              <a:p>
                <a:pPr>
                  <a:defRPr sz="900" b="0" i="0" u="none" strike="noStrike" baseline="0">
                    <a:solidFill>
                      <a:srgbClr val="333333"/>
                    </a:solidFill>
                    <a:latin typeface="Calibri"/>
                    <a:ea typeface="Calibri"/>
                    <a:cs typeface="Calibri"/>
                  </a:defRPr>
                </a:pPr>
                <a:endParaRPr lang="it-IT"/>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Foglio1!$I$2:$I$6</c:f>
              <c:strCache>
                <c:ptCount val="5"/>
                <c:pt idx="0">
                  <c:v>ASSENZE SU ORE LAVORATE</c:v>
                </c:pt>
                <c:pt idx="1">
                  <c:v>MALATTIA</c:v>
                </c:pt>
                <c:pt idx="2">
                  <c:v>FERIE</c:v>
                </c:pt>
                <c:pt idx="3">
                  <c:v>MATERNITA'</c:v>
                </c:pt>
                <c:pt idx="4">
                  <c:v>ASSENZE ALTRE</c:v>
                </c:pt>
              </c:strCache>
            </c:strRef>
          </c:cat>
          <c:val>
            <c:numRef>
              <c:f>Foglio1!$L$2:$L$6</c:f>
              <c:numCache>
                <c:formatCode>0.00%</c:formatCode>
                <c:ptCount val="5"/>
                <c:pt idx="0">
                  <c:v>0.1883</c:v>
                </c:pt>
                <c:pt idx="1">
                  <c:v>2.07E-2</c:v>
                </c:pt>
                <c:pt idx="2">
                  <c:v>0.1038</c:v>
                </c:pt>
                <c:pt idx="3">
                  <c:v>5.2999999999999999E-2</c:v>
                </c:pt>
                <c:pt idx="4">
                  <c:v>1.09E-2</c:v>
                </c:pt>
              </c:numCache>
            </c:numRef>
          </c:val>
          <c:extLst xmlns:c16r2="http://schemas.microsoft.com/office/drawing/2015/06/chart">
            <c:ext xmlns:c16="http://schemas.microsoft.com/office/drawing/2014/chart" uri="{C3380CC4-5D6E-409C-BE32-E72D297353CC}">
              <c16:uniqueId val="{00000003-A784-4334-BF56-C5BAD651E11A}"/>
            </c:ext>
          </c:extLst>
        </c:ser>
        <c:dLbls>
          <c:showLegendKey val="0"/>
          <c:showVal val="0"/>
          <c:showCatName val="0"/>
          <c:showSerName val="0"/>
          <c:showPercent val="0"/>
          <c:showBubbleSize val="0"/>
        </c:dLbls>
        <c:gapWidth val="182"/>
        <c:axId val="479136960"/>
        <c:axId val="479125984"/>
      </c:barChart>
      <c:catAx>
        <c:axId val="479136960"/>
        <c:scaling>
          <c:orientation val="minMax"/>
        </c:scaling>
        <c:delete val="0"/>
        <c:axPos val="l"/>
        <c:numFmt formatCode="General" sourceLinked="1"/>
        <c:majorTickMark val="none"/>
        <c:minorTickMark val="none"/>
        <c:tickLblPos val="nextTo"/>
        <c:spPr>
          <a:noFill/>
          <a:ln w="9530" cap="flat" cmpd="sng" algn="ctr">
            <a:solidFill>
              <a:schemeClr val="tx1">
                <a:lumMod val="15000"/>
                <a:lumOff val="85000"/>
              </a:schemeClr>
            </a:solidFill>
            <a:round/>
          </a:ln>
          <a:effectLst/>
        </c:spPr>
        <c:txPr>
          <a:bodyPr rot="0" vert="horz"/>
          <a:lstStyle/>
          <a:p>
            <a:pPr>
              <a:defRPr sz="900" b="0" i="0" u="none" strike="noStrike" baseline="0">
                <a:solidFill>
                  <a:srgbClr val="333333"/>
                </a:solidFill>
                <a:latin typeface="Calibri"/>
                <a:ea typeface="Calibri"/>
                <a:cs typeface="Calibri"/>
              </a:defRPr>
            </a:pPr>
            <a:endParaRPr lang="it-IT"/>
          </a:p>
        </c:txPr>
        <c:crossAx val="479125984"/>
        <c:crosses val="autoZero"/>
        <c:auto val="1"/>
        <c:lblAlgn val="ctr"/>
        <c:lblOffset val="100"/>
        <c:noMultiLvlLbl val="0"/>
      </c:catAx>
      <c:valAx>
        <c:axId val="479125984"/>
        <c:scaling>
          <c:orientation val="minMax"/>
        </c:scaling>
        <c:delete val="1"/>
        <c:axPos val="b"/>
        <c:majorGridlines>
          <c:spPr>
            <a:ln w="9530" cap="flat" cmpd="sng" algn="ctr">
              <a:solidFill>
                <a:schemeClr val="tx1">
                  <a:lumMod val="15000"/>
                  <a:lumOff val="85000"/>
                </a:schemeClr>
              </a:solidFill>
              <a:round/>
            </a:ln>
            <a:effectLst/>
          </c:spPr>
        </c:majorGridlines>
        <c:numFmt formatCode="0.00%" sourceLinked="1"/>
        <c:majorTickMark val="out"/>
        <c:minorTickMark val="none"/>
        <c:tickLblPos val="nextTo"/>
        <c:crossAx val="479136960"/>
        <c:crosses val="autoZero"/>
        <c:crossBetween val="between"/>
      </c:valAx>
      <c:spPr>
        <a:noFill/>
        <a:ln w="25414">
          <a:noFill/>
        </a:ln>
      </c:spPr>
    </c:plotArea>
    <c:legend>
      <c:legendPos val="b"/>
      <c:overlay val="0"/>
      <c:spPr>
        <a:noFill/>
        <a:ln w="25414">
          <a:noFill/>
        </a:ln>
      </c:spPr>
      <c:txPr>
        <a:bodyPr/>
        <a:lstStyle/>
        <a:p>
          <a:pPr>
            <a:defRPr sz="825" b="0" i="0" u="none" strike="noStrike" baseline="0">
              <a:solidFill>
                <a:srgbClr val="333333"/>
              </a:solidFill>
              <a:latin typeface="Calibri"/>
              <a:ea typeface="Calibri"/>
              <a:cs typeface="Calibri"/>
            </a:defRPr>
          </a:pPr>
          <a:endParaRPr lang="it-IT"/>
        </a:p>
      </c:txPr>
    </c:legend>
    <c:plotVisOnly val="1"/>
    <c:dispBlanksAs val="gap"/>
    <c:showDLblsOverMax val="0"/>
  </c:chart>
  <c:spPr>
    <a:solidFill>
      <a:schemeClr val="bg1"/>
    </a:solidFill>
    <a:ln w="9530" cap="flat" cmpd="sng" algn="ctr">
      <a:solidFill>
        <a:schemeClr val="tx1">
          <a:lumMod val="15000"/>
          <a:lumOff val="85000"/>
        </a:schemeClr>
      </a:solidFill>
      <a:round/>
    </a:ln>
    <a:effectLst/>
  </c:spPr>
  <c:txPr>
    <a:bodyPr/>
    <a:lstStyle/>
    <a:p>
      <a:pPr>
        <a:defRPr sz="1001" b="0" i="0" u="none" strike="noStrike" baseline="0">
          <a:solidFill>
            <a:srgbClr val="000000"/>
          </a:solidFill>
          <a:latin typeface="Calibri"/>
          <a:ea typeface="Calibri"/>
          <a:cs typeface="Calibri"/>
        </a:defRPr>
      </a:pPr>
      <a:endParaRPr lang="it-IT"/>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7B21-4A53-8655-391A307307C2}"/>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7B21-4A53-8655-391A307307C2}"/>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7B21-4A53-8655-391A307307C2}"/>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7B21-4A53-8655-391A307307C2}"/>
              </c:ext>
            </c:extLst>
          </c:dPt>
          <c:dPt>
            <c:idx val="4"/>
            <c:bubble3D val="0"/>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9-7B21-4A53-8655-391A307307C2}"/>
              </c:ext>
            </c:extLst>
          </c:dPt>
          <c:dPt>
            <c:idx val="5"/>
            <c:bubble3D val="0"/>
            <c:spPr>
              <a:solidFill>
                <a:schemeClr val="accent6"/>
              </a:solidFill>
              <a:ln w="19050">
                <a:solidFill>
                  <a:schemeClr val="lt1"/>
                </a:solidFill>
              </a:ln>
              <a:effectLst/>
            </c:spPr>
            <c:extLst xmlns:c16r2="http://schemas.microsoft.com/office/drawing/2015/06/chart">
              <c:ext xmlns:c16="http://schemas.microsoft.com/office/drawing/2014/chart" uri="{C3380CC4-5D6E-409C-BE32-E72D297353CC}">
                <c16:uniqueId val="{0000000B-7B21-4A53-8655-391A307307C2}"/>
              </c:ext>
            </c:extLst>
          </c:dPt>
          <c:dPt>
            <c:idx val="6"/>
            <c:bubble3D val="0"/>
            <c:spPr>
              <a:solidFill>
                <a:schemeClr val="accent1">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D-7B21-4A53-8655-391A307307C2}"/>
              </c:ext>
            </c:extLst>
          </c:dPt>
          <c:dPt>
            <c:idx val="7"/>
            <c:bubble3D val="0"/>
            <c:spPr>
              <a:solidFill>
                <a:schemeClr val="accent2">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F-7B21-4A53-8655-391A307307C2}"/>
              </c:ext>
            </c:extLst>
          </c:dPt>
          <c:dPt>
            <c:idx val="8"/>
            <c:bubble3D val="0"/>
            <c:spPr>
              <a:solidFill>
                <a:schemeClr val="accent3">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11-7B21-4A53-8655-391A307307C2}"/>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DatiAnnualiElenco!$W$10:$W$18</c:f>
              <c:strCache>
                <c:ptCount val="9"/>
                <c:pt idx="0">
                  <c:v>Emolumenti fissi al personale </c:v>
                </c:pt>
                <c:pt idx="1">
                  <c:v>Emolumenti variabili al personale</c:v>
                </c:pt>
                <c:pt idx="2">
                  <c:v>Oneri da contrattazione decentrata</c:v>
                </c:pt>
                <c:pt idx="3">
                  <c:v>Oneri da rinnovi contrattuali</c:v>
                </c:pt>
                <c:pt idx="4">
                  <c:v>Emolumenti al Segretario Generale</c:v>
                </c:pt>
                <c:pt idx="5">
                  <c:v>Altri oneri del personale</c:v>
                </c:pt>
                <c:pt idx="6">
                  <c:v>Oneri prev./ass./fiscali</c:v>
                </c:pt>
                <c:pt idx="7">
                  <c:v>TFR</c:v>
                </c:pt>
                <c:pt idx="8">
                  <c:v>IRAP dipendenti</c:v>
                </c:pt>
              </c:strCache>
            </c:strRef>
          </c:cat>
          <c:val>
            <c:numRef>
              <c:f>DatiAnnualiElenco!$Y$10:$Y$18</c:f>
              <c:numCache>
                <c:formatCode>0.00%</c:formatCode>
                <c:ptCount val="9"/>
                <c:pt idx="0">
                  <c:v>0.51062796679820299</c:v>
                </c:pt>
                <c:pt idx="1">
                  <c:v>3.2756680665483477E-2</c:v>
                </c:pt>
                <c:pt idx="2">
                  <c:v>0.11028090527274821</c:v>
                </c:pt>
                <c:pt idx="3">
                  <c:v>2.9543893831587777E-3</c:v>
                </c:pt>
                <c:pt idx="4">
                  <c:v>2.1337839846123953E-2</c:v>
                </c:pt>
                <c:pt idx="5">
                  <c:v>2.0520156950530079E-2</c:v>
                </c:pt>
                <c:pt idx="6">
                  <c:v>0.18183338734204346</c:v>
                </c:pt>
                <c:pt idx="7">
                  <c:v>6.1653751775612824E-2</c:v>
                </c:pt>
                <c:pt idx="8">
                  <c:v>5.8034921966096331E-2</c:v>
                </c:pt>
              </c:numCache>
            </c:numRef>
          </c:val>
          <c:extLst xmlns:c16r2="http://schemas.microsoft.com/office/drawing/2015/06/chart">
            <c:ext xmlns:c16="http://schemas.microsoft.com/office/drawing/2014/chart" uri="{C3380CC4-5D6E-409C-BE32-E72D297353CC}">
              <c16:uniqueId val="{00000012-7B21-4A53-8655-391A307307C2}"/>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6F6B9C2158B40D4A70375F86CFCFB66"/>
        <w:category>
          <w:name w:val="Generale"/>
          <w:gallery w:val="placeholder"/>
        </w:category>
        <w:types>
          <w:type w:val="bbPlcHdr"/>
        </w:types>
        <w:behaviors>
          <w:behavior w:val="content"/>
        </w:behaviors>
        <w:guid w:val="{7A3B1D93-CAB9-475A-A140-DF8D07CF71BC}"/>
      </w:docPartPr>
      <w:docPartBody>
        <w:p w:rsidR="00200732" w:rsidRDefault="00200732" w:rsidP="00200732">
          <w:pPr>
            <w:pStyle w:val="F6F6B9C2158B40D4A70375F86CFCFB66"/>
          </w:pPr>
          <w:r>
            <w:rPr>
              <w:rFonts w:asciiTheme="majorHAnsi" w:eastAsiaTheme="majorEastAsia" w:hAnsiTheme="majorHAnsi" w:cstheme="majorBidi"/>
              <w:caps/>
              <w:color w:val="5B9BD5" w:themeColor="accent1"/>
              <w:sz w:val="80"/>
              <w:szCs w:val="80"/>
            </w:rPr>
            <w:t>[Titolo del documento]</w:t>
          </w:r>
        </w:p>
      </w:docPartBody>
    </w:docPart>
    <w:docPart>
      <w:docPartPr>
        <w:name w:val="AE58F58BF9CC43EE9CACD99AF1B54577"/>
        <w:category>
          <w:name w:val="Generale"/>
          <w:gallery w:val="placeholder"/>
        </w:category>
        <w:types>
          <w:type w:val="bbPlcHdr"/>
        </w:types>
        <w:behaviors>
          <w:behavior w:val="content"/>
        </w:behaviors>
        <w:guid w:val="{D5B11AC8-2F61-4EDF-B97C-0F4D3F05E62F}"/>
      </w:docPartPr>
      <w:docPartBody>
        <w:p w:rsidR="00200732" w:rsidRDefault="00200732" w:rsidP="00200732">
          <w:pPr>
            <w:pStyle w:val="AE58F58BF9CC43EE9CACD99AF1B54577"/>
          </w:pPr>
          <w:r>
            <w:rPr>
              <w:color w:val="5B9BD5" w:themeColor="accent1"/>
              <w:sz w:val="28"/>
              <w:szCs w:val="28"/>
            </w:rPr>
            <w:t>[Sottotitolo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732"/>
    <w:rsid w:val="00200732"/>
    <w:rsid w:val="00331754"/>
    <w:rsid w:val="003F34DA"/>
    <w:rsid w:val="00452F8A"/>
    <w:rsid w:val="005F59F5"/>
    <w:rsid w:val="0068042C"/>
    <w:rsid w:val="00B51939"/>
    <w:rsid w:val="00D030B7"/>
    <w:rsid w:val="00D1094D"/>
    <w:rsid w:val="00D57086"/>
    <w:rsid w:val="00E5563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F6F6B9C2158B40D4A70375F86CFCFB66">
    <w:name w:val="F6F6B9C2158B40D4A70375F86CFCFB66"/>
    <w:rsid w:val="00200732"/>
  </w:style>
  <w:style w:type="paragraph" w:customStyle="1" w:styleId="AE58F58BF9CC43EE9CACD99AF1B54577">
    <w:name w:val="AE58F58BF9CC43EE9CACD99AF1B54577"/>
    <w:rsid w:val="002007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6EFF9C-10A4-4957-8048-6D4CCCBDA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9543</Words>
  <Characters>54398</Characters>
  <Application>Microsoft Office Word</Application>
  <DocSecurity>0</DocSecurity>
  <Lines>453</Lines>
  <Paragraphs>127</Paragraphs>
  <ScaleCrop>false</ScaleCrop>
  <HeadingPairs>
    <vt:vector size="2" baseType="variant">
      <vt:variant>
        <vt:lpstr>Titolo</vt:lpstr>
      </vt:variant>
      <vt:variant>
        <vt:i4>1</vt:i4>
      </vt:variant>
    </vt:vector>
  </HeadingPairs>
  <TitlesOfParts>
    <vt:vector size="1" baseType="lpstr">
      <vt:lpstr>Relazione Annuale per l’anno 2021</vt:lpstr>
    </vt:vector>
  </TitlesOfParts>
  <Company/>
  <LinksUpToDate>false</LinksUpToDate>
  <CharactersWithSpaces>63814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Relazione Annuale per l’anno 2021</dc:title>
  <dc:subject>ai sensi degli art. 8, comma, 4 e 16, comma 2, della legge n. 84/94 e ss. mm.e ii..</dc:subject>
  <dc:creator>Stefano Nava</dc:creator>
  <cp:keywords/>
  <dc:description/>
  <cp:lastModifiedBy>Raffaella Baldin</cp:lastModifiedBy>
  <cp:revision>3</cp:revision>
  <dcterms:created xsi:type="dcterms:W3CDTF">2022-05-31T12:29:00Z</dcterms:created>
  <dcterms:modified xsi:type="dcterms:W3CDTF">2022-05-31T12:29:00Z</dcterms:modified>
</cp:coreProperties>
</file>